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64" w:rsidRDefault="00C94564" w:rsidP="00BA6477">
      <w:pPr>
        <w:spacing w:after="0" w:line="240" w:lineRule="auto"/>
        <w:ind w:left="5812"/>
        <w:jc w:val="both"/>
        <w:rPr>
          <w:rFonts w:ascii="Times New Roman" w:hAnsi="Times New Roman"/>
          <w:sz w:val="23"/>
          <w:szCs w:val="23"/>
        </w:rPr>
      </w:pPr>
    </w:p>
    <w:p w:rsidR="00C94564" w:rsidRPr="00E3238F" w:rsidRDefault="00C94564" w:rsidP="00342C43">
      <w:pPr>
        <w:rPr>
          <w:rFonts w:ascii="Times New Roman" w:hAnsi="Times New Roman"/>
          <w:b/>
          <w:noProof/>
          <w:sz w:val="24"/>
          <w:szCs w:val="24"/>
        </w:rPr>
      </w:pPr>
      <w:r w:rsidRPr="00622971">
        <w:rPr>
          <w:noProof/>
        </w:rPr>
        <w:t xml:space="preserve">    </w:t>
      </w:r>
      <w:r w:rsidRPr="00622971">
        <w:rPr>
          <w:noProof/>
        </w:rPr>
        <w:tab/>
      </w:r>
      <w:r w:rsidRPr="00622971">
        <w:rPr>
          <w:noProof/>
        </w:rPr>
        <w:tab/>
      </w:r>
      <w:r w:rsidRPr="00622971">
        <w:rPr>
          <w:noProof/>
        </w:rPr>
        <w:tab/>
      </w:r>
      <w:r w:rsidRPr="00622971">
        <w:rPr>
          <w:noProof/>
        </w:rPr>
        <w:tab/>
      </w:r>
      <w:r w:rsidRPr="00622971">
        <w:rPr>
          <w:noProof/>
        </w:rPr>
        <w:tab/>
        <w:t xml:space="preserve">             </w:t>
      </w:r>
      <w:r>
        <w:rPr>
          <w:noProof/>
        </w:rPr>
        <w:t xml:space="preserve">                              </w:t>
      </w:r>
    </w:p>
    <w:p w:rsidR="00C94564" w:rsidRDefault="00C94564" w:rsidP="00342C43">
      <w:pPr>
        <w:pStyle w:val="BodyText2"/>
        <w:spacing w:before="0"/>
        <w:rPr>
          <w:noProof/>
          <w:szCs w:val="24"/>
        </w:rPr>
      </w:pPr>
    </w:p>
    <w:p w:rsidR="00C94564" w:rsidRDefault="00C94564" w:rsidP="00342C43">
      <w:pPr>
        <w:pStyle w:val="BodyText2"/>
        <w:spacing w:before="0"/>
        <w:rPr>
          <w:noProof/>
          <w:szCs w:val="24"/>
        </w:rPr>
      </w:pPr>
    </w:p>
    <w:p w:rsidR="00C94564" w:rsidRDefault="00C94564" w:rsidP="00342C43">
      <w:pPr>
        <w:pStyle w:val="BodyText2"/>
        <w:spacing w:before="0"/>
        <w:rPr>
          <w:noProof/>
          <w:szCs w:val="24"/>
        </w:rPr>
      </w:pPr>
    </w:p>
    <w:p w:rsidR="00C94564" w:rsidRPr="0012541E" w:rsidRDefault="00C94564" w:rsidP="00342C43">
      <w:pPr>
        <w:pStyle w:val="BodyText2"/>
        <w:spacing w:before="0"/>
        <w:rPr>
          <w:noProof/>
          <w:szCs w:val="24"/>
        </w:rPr>
      </w:pPr>
      <w:r w:rsidRPr="0012541E">
        <w:rPr>
          <w:noProof/>
          <w:szCs w:val="24"/>
        </w:rPr>
        <w:t>LIETUVOS RESPUBLIKOS SEIMAS</w:t>
      </w:r>
    </w:p>
    <w:p w:rsidR="00C94564" w:rsidRPr="0012541E" w:rsidRDefault="00C94564" w:rsidP="00342C43">
      <w:pPr>
        <w:pStyle w:val="BodyText2"/>
        <w:spacing w:before="0"/>
        <w:rPr>
          <w:noProof/>
          <w:szCs w:val="24"/>
        </w:rPr>
      </w:pPr>
    </w:p>
    <w:p w:rsidR="00C94564" w:rsidRPr="00B5517F" w:rsidRDefault="00C94564" w:rsidP="00342C43">
      <w:pPr>
        <w:pStyle w:val="BodyText2"/>
        <w:spacing w:before="0"/>
        <w:rPr>
          <w:noProof/>
          <w:szCs w:val="24"/>
        </w:rPr>
      </w:pPr>
      <w:r w:rsidRPr="00B5517F">
        <w:rPr>
          <w:noProof/>
          <w:szCs w:val="24"/>
        </w:rPr>
        <w:t>NUTARIMAS</w:t>
      </w:r>
    </w:p>
    <w:p w:rsidR="00C94564" w:rsidRPr="0012541E" w:rsidRDefault="00C94564" w:rsidP="00342C43">
      <w:pPr>
        <w:spacing w:line="240" w:lineRule="auto"/>
        <w:jc w:val="center"/>
        <w:rPr>
          <w:rFonts w:ascii="Times New Roman" w:hAnsi="Times New Roman"/>
          <w:b/>
          <w:noProof/>
          <w:sz w:val="24"/>
          <w:szCs w:val="24"/>
        </w:rPr>
      </w:pPr>
      <w:r w:rsidRPr="0012541E">
        <w:rPr>
          <w:rFonts w:ascii="Times New Roman" w:hAnsi="Times New Roman"/>
          <w:b/>
          <w:noProof/>
          <w:sz w:val="24"/>
          <w:szCs w:val="24"/>
        </w:rPr>
        <w:t xml:space="preserve">DĖL VALSTYBINĖS ŠVIETIMO 2013–2022 METŲ STRATEGIJOS </w:t>
      </w:r>
      <w:r>
        <w:rPr>
          <w:rFonts w:ascii="Times New Roman" w:hAnsi="Times New Roman"/>
          <w:b/>
          <w:noProof/>
          <w:sz w:val="24"/>
          <w:szCs w:val="24"/>
        </w:rPr>
        <w:t>PATVIRTINIMO</w:t>
      </w:r>
    </w:p>
    <w:p w:rsidR="00C94564" w:rsidRPr="00622971" w:rsidRDefault="00C94564" w:rsidP="00342C43">
      <w:pPr>
        <w:pStyle w:val="BodyText2"/>
        <w:spacing w:before="0"/>
        <w:rPr>
          <w:b w:val="0"/>
          <w:noProof/>
          <w:szCs w:val="24"/>
        </w:rPr>
      </w:pPr>
      <w:r w:rsidRPr="00622971">
        <w:rPr>
          <w:b w:val="0"/>
          <w:noProof/>
          <w:szCs w:val="24"/>
        </w:rPr>
        <w:t>201</w:t>
      </w:r>
      <w:r>
        <w:rPr>
          <w:b w:val="0"/>
          <w:noProof/>
          <w:szCs w:val="24"/>
          <w:lang w:val="lt-LT"/>
        </w:rPr>
        <w:t>3</w:t>
      </w:r>
      <w:r w:rsidRPr="00622971">
        <w:rPr>
          <w:b w:val="0"/>
          <w:noProof/>
          <w:szCs w:val="24"/>
        </w:rPr>
        <w:t xml:space="preserve"> m.                  d. Nr.</w:t>
      </w:r>
    </w:p>
    <w:p w:rsidR="00C94564" w:rsidRPr="00622971" w:rsidRDefault="00C94564" w:rsidP="00342C43">
      <w:pPr>
        <w:pStyle w:val="BodyText2"/>
        <w:spacing w:before="0"/>
        <w:rPr>
          <w:b w:val="0"/>
          <w:noProof/>
          <w:szCs w:val="24"/>
        </w:rPr>
      </w:pPr>
      <w:r w:rsidRPr="00622971">
        <w:rPr>
          <w:b w:val="0"/>
          <w:noProof/>
          <w:szCs w:val="24"/>
        </w:rPr>
        <w:t>Vilnius</w:t>
      </w:r>
    </w:p>
    <w:p w:rsidR="00C94564" w:rsidRPr="00622971" w:rsidRDefault="00C94564" w:rsidP="00342C43">
      <w:pPr>
        <w:pStyle w:val="BodyText2"/>
        <w:spacing w:before="0" w:line="360" w:lineRule="auto"/>
        <w:rPr>
          <w:b w:val="0"/>
          <w:noProof/>
          <w:szCs w:val="24"/>
        </w:rPr>
      </w:pPr>
    </w:p>
    <w:p w:rsidR="00C94564" w:rsidRDefault="00C94564" w:rsidP="00342C43">
      <w:pPr>
        <w:spacing w:after="0" w:line="360" w:lineRule="auto"/>
        <w:ind w:firstLine="330"/>
        <w:jc w:val="both"/>
        <w:rPr>
          <w:rFonts w:ascii="Times New Roman" w:hAnsi="Times New Roman"/>
          <w:noProof/>
          <w:sz w:val="24"/>
          <w:szCs w:val="20"/>
          <w:lang w:eastAsia="lt-LT"/>
        </w:rPr>
      </w:pPr>
      <w:r>
        <w:rPr>
          <w:rFonts w:ascii="Times New Roman" w:hAnsi="Times New Roman"/>
          <w:noProof/>
          <w:sz w:val="24"/>
          <w:szCs w:val="20"/>
          <w:lang w:eastAsia="lt-LT"/>
        </w:rPr>
        <w:t xml:space="preserve">Lietuvos Respublikos Seimas, </w:t>
      </w:r>
    </w:p>
    <w:p w:rsidR="00C94564" w:rsidRPr="00622971" w:rsidRDefault="00C94564" w:rsidP="00342C43">
      <w:pPr>
        <w:spacing w:after="0" w:line="360" w:lineRule="auto"/>
        <w:ind w:firstLine="330"/>
        <w:jc w:val="both"/>
        <w:rPr>
          <w:rFonts w:ascii="Times New Roman" w:hAnsi="Times New Roman"/>
          <w:noProof/>
          <w:sz w:val="24"/>
          <w:szCs w:val="24"/>
          <w:lang w:eastAsia="lt-LT"/>
        </w:rPr>
      </w:pPr>
      <w:r>
        <w:rPr>
          <w:rFonts w:ascii="Times New Roman" w:hAnsi="Times New Roman"/>
          <w:noProof/>
          <w:sz w:val="24"/>
          <w:szCs w:val="20"/>
          <w:lang w:eastAsia="lt-LT"/>
        </w:rPr>
        <w:t xml:space="preserve">vadovaudamasis </w:t>
      </w:r>
      <w:r w:rsidRPr="00622971">
        <w:rPr>
          <w:rFonts w:ascii="Times New Roman" w:hAnsi="Times New Roman"/>
          <w:noProof/>
          <w:sz w:val="24"/>
          <w:szCs w:val="20"/>
          <w:lang w:eastAsia="lt-LT"/>
        </w:rPr>
        <w:t xml:space="preserve">Lietuvos Respublikos </w:t>
      </w:r>
      <w:r>
        <w:rPr>
          <w:rFonts w:ascii="Times New Roman" w:hAnsi="Times New Roman"/>
          <w:noProof/>
          <w:sz w:val="24"/>
          <w:szCs w:val="20"/>
          <w:lang w:eastAsia="lt-LT"/>
        </w:rPr>
        <w:t xml:space="preserve">švietimo įstatymo (Žin., 1991, Nr. </w:t>
      </w:r>
      <w:hyperlink r:id="rId7" w:history="1">
        <w:r w:rsidRPr="00A41B15">
          <w:rPr>
            <w:rStyle w:val="Hyperlink"/>
            <w:rFonts w:ascii="Times New Roman" w:hAnsi="Times New Roman"/>
            <w:noProof/>
            <w:sz w:val="24"/>
            <w:szCs w:val="20"/>
            <w:lang w:eastAsia="lt-LT"/>
          </w:rPr>
          <w:t>23-593</w:t>
        </w:r>
      </w:hyperlink>
      <w:r>
        <w:rPr>
          <w:rFonts w:ascii="Times New Roman" w:hAnsi="Times New Roman"/>
          <w:noProof/>
          <w:sz w:val="24"/>
          <w:szCs w:val="20"/>
          <w:lang w:eastAsia="lt-LT"/>
        </w:rPr>
        <w:t xml:space="preserve">; 2011, Nr. </w:t>
      </w:r>
      <w:hyperlink r:id="rId8" w:history="1">
        <w:r w:rsidRPr="00A41B15">
          <w:rPr>
            <w:rStyle w:val="Hyperlink"/>
            <w:rFonts w:ascii="Times New Roman" w:hAnsi="Times New Roman"/>
            <w:noProof/>
            <w:sz w:val="24"/>
            <w:szCs w:val="20"/>
            <w:lang w:eastAsia="lt-LT"/>
          </w:rPr>
          <w:t>38-1804</w:t>
        </w:r>
      </w:hyperlink>
      <w:r>
        <w:rPr>
          <w:rFonts w:ascii="Times New Roman" w:hAnsi="Times New Roman"/>
          <w:noProof/>
          <w:sz w:val="24"/>
          <w:szCs w:val="20"/>
          <w:lang w:eastAsia="lt-LT"/>
        </w:rPr>
        <w:t xml:space="preserve">) 54 straipsnio 2 dalimi, </w:t>
      </w:r>
      <w:r w:rsidRPr="00622971">
        <w:rPr>
          <w:rFonts w:ascii="Times New Roman" w:hAnsi="Times New Roman"/>
          <w:noProof/>
          <w:spacing w:val="80"/>
          <w:sz w:val="24"/>
          <w:szCs w:val="24"/>
          <w:lang w:eastAsia="lt-LT"/>
        </w:rPr>
        <w:t>nutaria</w:t>
      </w:r>
      <w:r w:rsidRPr="00622971">
        <w:rPr>
          <w:rFonts w:ascii="Times New Roman" w:hAnsi="Times New Roman"/>
          <w:noProof/>
          <w:sz w:val="24"/>
          <w:szCs w:val="24"/>
          <w:lang w:eastAsia="lt-LT"/>
        </w:rPr>
        <w:t>:</w:t>
      </w:r>
    </w:p>
    <w:p w:rsidR="00C94564" w:rsidRPr="00086DB6" w:rsidRDefault="00C94564" w:rsidP="00342C43">
      <w:pPr>
        <w:spacing w:after="0" w:line="360" w:lineRule="auto"/>
        <w:ind w:left="360"/>
        <w:jc w:val="both"/>
        <w:rPr>
          <w:rFonts w:ascii="Times New Roman" w:hAnsi="Times New Roman"/>
          <w:b/>
          <w:noProof/>
          <w:sz w:val="24"/>
          <w:szCs w:val="20"/>
          <w:lang w:eastAsia="lt-LT"/>
        </w:rPr>
      </w:pPr>
      <w:r w:rsidRPr="00086DB6">
        <w:rPr>
          <w:rFonts w:ascii="Times New Roman" w:hAnsi="Times New Roman"/>
          <w:b/>
          <w:noProof/>
          <w:sz w:val="24"/>
          <w:szCs w:val="20"/>
          <w:lang w:eastAsia="lt-LT"/>
        </w:rPr>
        <w:t xml:space="preserve">1 straipsnis. </w:t>
      </w:r>
    </w:p>
    <w:p w:rsidR="00C94564" w:rsidRPr="00622971" w:rsidRDefault="00C94564" w:rsidP="00342C43">
      <w:pPr>
        <w:spacing w:after="0" w:line="360" w:lineRule="auto"/>
        <w:ind w:left="360"/>
        <w:jc w:val="both"/>
        <w:rPr>
          <w:rFonts w:ascii="Times New Roman" w:hAnsi="Times New Roman"/>
          <w:noProof/>
          <w:sz w:val="24"/>
          <w:szCs w:val="20"/>
          <w:lang w:eastAsia="lt-LT"/>
        </w:rPr>
      </w:pPr>
      <w:r>
        <w:rPr>
          <w:rFonts w:ascii="Times New Roman" w:hAnsi="Times New Roman"/>
          <w:noProof/>
          <w:sz w:val="24"/>
          <w:szCs w:val="20"/>
          <w:lang w:eastAsia="lt-LT"/>
        </w:rPr>
        <w:t xml:space="preserve">Patvirtinti </w:t>
      </w:r>
      <w:r w:rsidRPr="00622971">
        <w:rPr>
          <w:rFonts w:ascii="Times New Roman" w:hAnsi="Times New Roman"/>
          <w:noProof/>
          <w:sz w:val="24"/>
          <w:szCs w:val="20"/>
          <w:lang w:eastAsia="lt-LT"/>
        </w:rPr>
        <w:t>V</w:t>
      </w:r>
      <w:r>
        <w:rPr>
          <w:rFonts w:ascii="Times New Roman" w:hAnsi="Times New Roman"/>
          <w:noProof/>
          <w:sz w:val="24"/>
          <w:szCs w:val="20"/>
          <w:lang w:eastAsia="lt-LT"/>
        </w:rPr>
        <w:t>alstybinę švietimo 2013–2022 metų</w:t>
      </w:r>
      <w:r w:rsidRPr="00622971">
        <w:rPr>
          <w:rFonts w:ascii="Times New Roman" w:hAnsi="Times New Roman"/>
          <w:noProof/>
          <w:sz w:val="24"/>
          <w:szCs w:val="20"/>
          <w:lang w:eastAsia="lt-LT"/>
        </w:rPr>
        <w:t xml:space="preserve"> </w:t>
      </w:r>
      <w:r>
        <w:rPr>
          <w:rFonts w:ascii="Times New Roman" w:hAnsi="Times New Roman"/>
          <w:noProof/>
          <w:sz w:val="24"/>
          <w:szCs w:val="20"/>
          <w:lang w:eastAsia="lt-LT"/>
        </w:rPr>
        <w:t xml:space="preserve">strategiją </w:t>
      </w:r>
      <w:r w:rsidRPr="00622971">
        <w:rPr>
          <w:rFonts w:ascii="Times New Roman" w:hAnsi="Times New Roman"/>
          <w:noProof/>
          <w:sz w:val="24"/>
          <w:szCs w:val="20"/>
          <w:lang w:eastAsia="lt-LT"/>
        </w:rPr>
        <w:t>(pridedama).</w:t>
      </w:r>
    </w:p>
    <w:p w:rsidR="00C94564" w:rsidRPr="00622971" w:rsidRDefault="00C94564" w:rsidP="00342C43">
      <w:pPr>
        <w:keepNext/>
        <w:keepLines/>
        <w:spacing w:after="0" w:line="240" w:lineRule="auto"/>
        <w:jc w:val="both"/>
        <w:rPr>
          <w:rFonts w:ascii="Times New Roman" w:hAnsi="Times New Roman"/>
          <w:noProof/>
          <w:sz w:val="24"/>
          <w:szCs w:val="20"/>
          <w:lang w:eastAsia="lt-LT"/>
        </w:rPr>
      </w:pPr>
    </w:p>
    <w:p w:rsidR="00C94564" w:rsidRPr="00622971" w:rsidRDefault="00C94564" w:rsidP="00342C43">
      <w:pPr>
        <w:spacing w:after="0" w:line="240" w:lineRule="auto"/>
        <w:ind w:firstLine="709"/>
        <w:jc w:val="both"/>
        <w:rPr>
          <w:rFonts w:ascii="Times New Roman" w:hAnsi="Times New Roman"/>
          <w:noProof/>
          <w:sz w:val="24"/>
          <w:szCs w:val="20"/>
          <w:lang w:eastAsia="lt-LT"/>
        </w:rPr>
      </w:pPr>
    </w:p>
    <w:p w:rsidR="00C94564" w:rsidRDefault="00C94564" w:rsidP="00342C43">
      <w:pPr>
        <w:tabs>
          <w:tab w:val="left" w:pos="4665"/>
          <w:tab w:val="left" w:pos="6237"/>
          <w:tab w:val="right" w:pos="8306"/>
        </w:tabs>
        <w:spacing w:after="0" w:line="240" w:lineRule="auto"/>
        <w:rPr>
          <w:rFonts w:ascii="Times New Roman" w:hAnsi="Times New Roman"/>
          <w:noProof/>
          <w:sz w:val="24"/>
          <w:szCs w:val="20"/>
          <w:lang w:eastAsia="lt-LT"/>
        </w:rPr>
      </w:pPr>
      <w:r>
        <w:rPr>
          <w:rFonts w:ascii="Times New Roman" w:hAnsi="Times New Roman"/>
          <w:noProof/>
          <w:sz w:val="24"/>
          <w:szCs w:val="20"/>
          <w:lang w:eastAsia="lt-LT"/>
        </w:rPr>
        <w:t>SEIMO PIRMININKAS</w:t>
      </w: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Default="00C94564" w:rsidP="00BA6477">
      <w:pPr>
        <w:spacing w:after="0" w:line="240" w:lineRule="auto"/>
        <w:ind w:left="5812"/>
        <w:jc w:val="both"/>
        <w:rPr>
          <w:rFonts w:ascii="Times New Roman" w:hAnsi="Times New Roman"/>
          <w:sz w:val="23"/>
          <w:szCs w:val="23"/>
        </w:rPr>
      </w:pPr>
    </w:p>
    <w:p w:rsidR="00C94564" w:rsidRPr="008B4485" w:rsidRDefault="00C94564" w:rsidP="00BA6477">
      <w:pPr>
        <w:spacing w:after="0" w:line="240" w:lineRule="auto"/>
        <w:ind w:left="5812"/>
        <w:jc w:val="both"/>
        <w:rPr>
          <w:rFonts w:ascii="Times New Roman" w:hAnsi="Times New Roman"/>
          <w:sz w:val="23"/>
          <w:szCs w:val="23"/>
        </w:rPr>
      </w:pPr>
      <w:r w:rsidRPr="008B4485">
        <w:rPr>
          <w:rFonts w:ascii="Times New Roman" w:hAnsi="Times New Roman"/>
          <w:sz w:val="23"/>
          <w:szCs w:val="23"/>
        </w:rPr>
        <w:t>PATVIRTINTA</w:t>
      </w:r>
    </w:p>
    <w:p w:rsidR="00C94564" w:rsidRPr="008B4485" w:rsidRDefault="00C94564" w:rsidP="00BA6477">
      <w:pPr>
        <w:spacing w:after="0" w:line="240" w:lineRule="auto"/>
        <w:ind w:left="5812"/>
        <w:jc w:val="both"/>
        <w:rPr>
          <w:rFonts w:ascii="Times New Roman" w:hAnsi="Times New Roman"/>
          <w:sz w:val="23"/>
          <w:szCs w:val="23"/>
        </w:rPr>
      </w:pPr>
      <w:r w:rsidRPr="008B4485">
        <w:rPr>
          <w:rFonts w:ascii="Times New Roman" w:hAnsi="Times New Roman"/>
          <w:sz w:val="23"/>
          <w:szCs w:val="23"/>
        </w:rPr>
        <w:t>Lietuvos Respublikos Seimo</w:t>
      </w:r>
    </w:p>
    <w:p w:rsidR="00C94564" w:rsidRPr="008B4485" w:rsidRDefault="00C94564" w:rsidP="0095744D">
      <w:pPr>
        <w:spacing w:after="0" w:line="240" w:lineRule="auto"/>
        <w:ind w:left="5812"/>
        <w:jc w:val="both"/>
        <w:rPr>
          <w:rFonts w:ascii="Times New Roman" w:hAnsi="Times New Roman"/>
          <w:sz w:val="23"/>
          <w:szCs w:val="23"/>
        </w:rPr>
      </w:pPr>
      <w:smartTag w:uri="schemas-tilde-lv/tildestengine" w:element="metric2">
        <w:smartTagPr>
          <w:attr w:name="metric_text" w:val="m"/>
          <w:attr w:name="metric_value" w:val="2022"/>
        </w:smartTagPr>
        <w:r w:rsidRPr="008B4485">
          <w:rPr>
            <w:rFonts w:ascii="Times New Roman" w:hAnsi="Times New Roman"/>
            <w:sz w:val="23"/>
            <w:szCs w:val="23"/>
          </w:rPr>
          <w:t>2012 m</w:t>
        </w:r>
      </w:smartTag>
      <w:r w:rsidRPr="008B4485">
        <w:rPr>
          <w:rFonts w:ascii="Times New Roman" w:hAnsi="Times New Roman"/>
          <w:sz w:val="23"/>
          <w:szCs w:val="23"/>
        </w:rPr>
        <w:t xml:space="preserve">.            d. nutarimu Nr. </w:t>
      </w:r>
    </w:p>
    <w:p w:rsidR="00C94564" w:rsidRPr="008B4485" w:rsidRDefault="00C94564" w:rsidP="00E564BB">
      <w:pPr>
        <w:spacing w:after="0" w:line="240" w:lineRule="auto"/>
        <w:jc w:val="both"/>
        <w:rPr>
          <w:rFonts w:ascii="Times New Roman" w:hAnsi="Times New Roman"/>
          <w:sz w:val="23"/>
          <w:szCs w:val="23"/>
        </w:rPr>
      </w:pPr>
    </w:p>
    <w:p w:rsidR="00C94564" w:rsidRPr="008B4485" w:rsidRDefault="00C94564" w:rsidP="00EE796C">
      <w:pPr>
        <w:spacing w:after="0" w:line="240" w:lineRule="auto"/>
        <w:jc w:val="both"/>
        <w:rPr>
          <w:rFonts w:ascii="Times New Roman" w:hAnsi="Times New Roman"/>
          <w:sz w:val="23"/>
          <w:szCs w:val="23"/>
        </w:rPr>
      </w:pPr>
    </w:p>
    <w:p w:rsidR="00C94564" w:rsidRPr="008B4485" w:rsidRDefault="00C94564" w:rsidP="00D1276D">
      <w:pPr>
        <w:spacing w:line="240" w:lineRule="auto"/>
        <w:jc w:val="center"/>
        <w:rPr>
          <w:rFonts w:ascii="Times New Roman" w:hAnsi="Times New Roman"/>
          <w:b/>
          <w:sz w:val="23"/>
          <w:szCs w:val="23"/>
        </w:rPr>
      </w:pPr>
      <w:r w:rsidRPr="008B4485">
        <w:rPr>
          <w:rFonts w:ascii="Times New Roman" w:hAnsi="Times New Roman"/>
          <w:b/>
          <w:sz w:val="23"/>
          <w:szCs w:val="23"/>
        </w:rPr>
        <w:t xml:space="preserve">VALSTYBINĖ ŠVIETIMO 2013–2022 METŲ STRATEGIJA </w:t>
      </w:r>
    </w:p>
    <w:p w:rsidR="00C94564" w:rsidRPr="008B4485" w:rsidRDefault="00C94564" w:rsidP="00D1276D">
      <w:pPr>
        <w:spacing w:line="240" w:lineRule="auto"/>
        <w:jc w:val="center"/>
        <w:rPr>
          <w:rFonts w:ascii="Times New Roman" w:hAnsi="Times New Roman"/>
          <w:b/>
          <w:sz w:val="23"/>
          <w:szCs w:val="23"/>
        </w:rPr>
      </w:pPr>
    </w:p>
    <w:p w:rsidR="00C94564" w:rsidRPr="008B4485" w:rsidRDefault="00C94564" w:rsidP="00D1276D">
      <w:pPr>
        <w:numPr>
          <w:ilvl w:val="0"/>
          <w:numId w:val="1"/>
        </w:numPr>
        <w:spacing w:line="240" w:lineRule="auto"/>
        <w:ind w:left="0" w:firstLine="0"/>
        <w:contextualSpacing/>
        <w:jc w:val="center"/>
        <w:rPr>
          <w:rFonts w:ascii="Times New Roman" w:hAnsi="Times New Roman"/>
          <w:b/>
          <w:sz w:val="23"/>
          <w:szCs w:val="23"/>
        </w:rPr>
      </w:pPr>
      <w:r w:rsidRPr="008B4485">
        <w:rPr>
          <w:rFonts w:ascii="Times New Roman" w:hAnsi="Times New Roman"/>
          <w:b/>
          <w:sz w:val="23"/>
          <w:szCs w:val="23"/>
        </w:rPr>
        <w:t>BENDROSIOS NUOSTATOS</w:t>
      </w:r>
    </w:p>
    <w:p w:rsidR="00C94564" w:rsidRPr="008B4485" w:rsidRDefault="00C94564" w:rsidP="00B71A7E">
      <w:pPr>
        <w:pStyle w:val="prastasis1"/>
        <w:numPr>
          <w:ilvl w:val="0"/>
          <w:numId w:val="5"/>
        </w:numPr>
        <w:jc w:val="both"/>
        <w:rPr>
          <w:rFonts w:ascii="Times New Roman" w:hAnsi="Times New Roman"/>
          <w:sz w:val="23"/>
          <w:szCs w:val="23"/>
        </w:rPr>
      </w:pPr>
      <w:r w:rsidRPr="008B4485">
        <w:rPr>
          <w:rFonts w:ascii="Times New Roman" w:hAnsi="Times New Roman"/>
          <w:sz w:val="23"/>
          <w:szCs w:val="23"/>
        </w:rPr>
        <w:t>Valstybinė švietimo 2013–2022 metų strategija (toliau – Strategija) parengta siekiant sutelkti švietimo bendruomenės pastangas esminiams švietimo srities pokyčiams, kurie būtini atsižvelgiant į visuomenės lūkesčius, Valstybės pažangos strategijos „Lietuvos pažangos strategija „Lietuva 2030“</w:t>
      </w:r>
      <w:r w:rsidRPr="008B4485">
        <w:rPr>
          <w:rFonts w:ascii="Times New Roman" w:eastAsia="MS Mincho" w:hAnsi="Times New Roman"/>
          <w:sz w:val="23"/>
          <w:szCs w:val="23"/>
        </w:rPr>
        <w:t xml:space="preserve">, patvirtintos Lietuvos Respublikos Seimo </w:t>
      </w:r>
      <w:smartTag w:uri="schemas-tilde-lv/tildestengine" w:element="metric2">
        <w:smartTagPr>
          <w:attr w:name="metric_text" w:val="m"/>
          <w:attr w:name="metric_value" w:val="2022"/>
        </w:smartTagPr>
        <w:r w:rsidRPr="008B4485">
          <w:rPr>
            <w:rFonts w:ascii="Times New Roman" w:eastAsia="MS Mincho" w:hAnsi="Times New Roman"/>
            <w:sz w:val="23"/>
            <w:szCs w:val="23"/>
          </w:rPr>
          <w:t>2012 m</w:t>
        </w:r>
      </w:smartTag>
      <w:r w:rsidRPr="008B4485">
        <w:rPr>
          <w:rFonts w:ascii="Times New Roman" w:eastAsia="MS Mincho" w:hAnsi="Times New Roman"/>
          <w:sz w:val="23"/>
          <w:szCs w:val="23"/>
        </w:rPr>
        <w:t>. gegužės 15 d. nutarimu Nr. XI-2015 (</w:t>
      </w:r>
      <w:r w:rsidRPr="008B4485">
        <w:rPr>
          <w:rFonts w:ascii="Times New Roman" w:hAnsi="Times New Roman"/>
          <w:sz w:val="23"/>
          <w:szCs w:val="23"/>
        </w:rPr>
        <w:t>Ž</w:t>
      </w:r>
      <w:r w:rsidRPr="008B4485">
        <w:rPr>
          <w:rFonts w:ascii="Times New Roman" w:hAnsi="Times New Roman"/>
          <w:bCs/>
          <w:sz w:val="23"/>
          <w:szCs w:val="23"/>
        </w:rPr>
        <w:t>in., </w:t>
      </w:r>
      <w:r w:rsidRPr="008B4485">
        <w:rPr>
          <w:rFonts w:ascii="Times New Roman" w:hAnsi="Times New Roman"/>
          <w:bCs/>
          <w:color w:val="auto"/>
          <w:sz w:val="23"/>
          <w:szCs w:val="23"/>
        </w:rPr>
        <w:t xml:space="preserve">2012, Nr. </w:t>
      </w:r>
      <w:hyperlink r:id="rId9" w:history="1">
        <w:r w:rsidRPr="008B4485">
          <w:rPr>
            <w:rStyle w:val="Hyperlink"/>
            <w:rFonts w:ascii="Times New Roman" w:hAnsi="Times New Roman"/>
            <w:bCs/>
            <w:color w:val="auto"/>
            <w:sz w:val="23"/>
            <w:szCs w:val="23"/>
            <w:u w:val="none"/>
          </w:rPr>
          <w:t>61-3050</w:t>
        </w:r>
      </w:hyperlink>
      <w:r w:rsidRPr="008B4485">
        <w:rPr>
          <w:rFonts w:ascii="Times New Roman" w:eastAsia="MS Mincho" w:hAnsi="Times New Roman"/>
          <w:color w:val="auto"/>
          <w:sz w:val="23"/>
          <w:szCs w:val="23"/>
        </w:rPr>
        <w:t xml:space="preserve">), </w:t>
      </w:r>
      <w:r w:rsidRPr="008B4485">
        <w:rPr>
          <w:rFonts w:ascii="Times New Roman" w:hAnsi="Times New Roman"/>
          <w:color w:val="auto"/>
          <w:sz w:val="23"/>
          <w:szCs w:val="23"/>
        </w:rPr>
        <w:t>nuostatas, pasaulines švietimo filosofijos, politikos ir praktikos tendenc</w:t>
      </w:r>
      <w:r w:rsidRPr="008B4485">
        <w:rPr>
          <w:rFonts w:ascii="Times New Roman" w:hAnsi="Times New Roman"/>
          <w:sz w:val="23"/>
          <w:szCs w:val="23"/>
        </w:rPr>
        <w:t>ijas, naujausius Lietuvos ir Europos Sąjungos švietimo būklės</w:t>
      </w:r>
      <w:r w:rsidRPr="008B4485">
        <w:rPr>
          <w:sz w:val="23"/>
          <w:szCs w:val="23"/>
        </w:rPr>
        <w:t xml:space="preserve"> </w:t>
      </w:r>
      <w:r w:rsidRPr="008B4485">
        <w:rPr>
          <w:rFonts w:ascii="Times New Roman" w:hAnsi="Times New Roman"/>
          <w:sz w:val="23"/>
          <w:szCs w:val="23"/>
        </w:rPr>
        <w:t xml:space="preserve">duomenis. </w:t>
      </w:r>
    </w:p>
    <w:p w:rsidR="00C94564" w:rsidRPr="008B4485" w:rsidRDefault="00C94564" w:rsidP="00817C05">
      <w:pPr>
        <w:pStyle w:val="prastasis1"/>
        <w:numPr>
          <w:ilvl w:val="0"/>
          <w:numId w:val="5"/>
        </w:numPr>
        <w:jc w:val="both"/>
        <w:rPr>
          <w:rFonts w:ascii="Times New Roman" w:hAnsi="Times New Roman"/>
          <w:sz w:val="23"/>
          <w:szCs w:val="23"/>
        </w:rPr>
      </w:pPr>
      <w:r w:rsidRPr="008B4485">
        <w:rPr>
          <w:rFonts w:ascii="Times New Roman" w:hAnsi="Times New Roman"/>
          <w:sz w:val="23"/>
          <w:szCs w:val="23"/>
        </w:rPr>
        <w:t xml:space="preserve">Strategija rengta vadovaujantis Lietuvos Respublikos švietimo įstatymo (Žin., </w:t>
      </w:r>
      <w:r w:rsidRPr="008B4485">
        <w:rPr>
          <w:rFonts w:ascii="Times New Roman" w:hAnsi="Times New Roman"/>
          <w:iCs/>
          <w:sz w:val="23"/>
          <w:szCs w:val="23"/>
        </w:rPr>
        <w:t>1991, Nr. </w:t>
      </w:r>
      <w:hyperlink r:id="rId10" w:history="1">
        <w:r w:rsidRPr="00A41B15">
          <w:rPr>
            <w:rStyle w:val="Hyperlink"/>
            <w:rFonts w:ascii="Times New Roman" w:hAnsi="Times New Roman"/>
            <w:iCs/>
            <w:sz w:val="23"/>
            <w:szCs w:val="23"/>
          </w:rPr>
          <w:t>23-593</w:t>
        </w:r>
      </w:hyperlink>
      <w:r w:rsidRPr="008B4485">
        <w:rPr>
          <w:rFonts w:ascii="Times New Roman" w:hAnsi="Times New Roman"/>
          <w:iCs/>
          <w:sz w:val="23"/>
          <w:szCs w:val="23"/>
        </w:rPr>
        <w:t xml:space="preserve">; 2011, Nr. </w:t>
      </w:r>
      <w:hyperlink r:id="rId11" w:history="1">
        <w:r w:rsidRPr="00A41B15">
          <w:rPr>
            <w:rStyle w:val="Hyperlink"/>
            <w:rFonts w:ascii="Times New Roman" w:hAnsi="Times New Roman"/>
            <w:iCs/>
            <w:sz w:val="23"/>
            <w:szCs w:val="23"/>
          </w:rPr>
          <w:t>38-1804</w:t>
        </w:r>
      </w:hyperlink>
      <w:r w:rsidRPr="008B4485">
        <w:rPr>
          <w:rFonts w:ascii="Times New Roman" w:hAnsi="Times New Roman"/>
          <w:iCs/>
          <w:sz w:val="23"/>
          <w:szCs w:val="23"/>
        </w:rPr>
        <w:t xml:space="preserve">) 54 straipsnio 2 dalimi ir atsižvelgiant į Strateginio planavimo metodiką, patvirtintą Lietuvos Respublikos Vyriausybės </w:t>
      </w:r>
      <w:smartTag w:uri="schemas-tilde-lv/tildestengine" w:element="metric2">
        <w:smartTagPr>
          <w:attr w:name="metric_text" w:val="m"/>
          <w:attr w:name="metric_value" w:val="2022"/>
        </w:smartTagPr>
        <w:r w:rsidRPr="008B4485">
          <w:rPr>
            <w:rFonts w:ascii="Times New Roman" w:hAnsi="Times New Roman"/>
            <w:iCs/>
            <w:sz w:val="23"/>
            <w:szCs w:val="23"/>
          </w:rPr>
          <w:t>2002 m</w:t>
        </w:r>
      </w:smartTag>
      <w:r w:rsidRPr="008B4485">
        <w:rPr>
          <w:rFonts w:ascii="Times New Roman" w:hAnsi="Times New Roman"/>
          <w:iCs/>
          <w:sz w:val="23"/>
          <w:szCs w:val="23"/>
        </w:rPr>
        <w:t xml:space="preserve">. birželio 6 d. nutarimu Nr. 827 (Žin., 2002, Nr. </w:t>
      </w:r>
      <w:hyperlink r:id="rId12" w:history="1">
        <w:r w:rsidRPr="00A41B15">
          <w:rPr>
            <w:rStyle w:val="Hyperlink"/>
            <w:rFonts w:ascii="Times New Roman" w:hAnsi="Times New Roman"/>
            <w:iCs/>
            <w:sz w:val="23"/>
            <w:szCs w:val="23"/>
          </w:rPr>
          <w:t>57-2312</w:t>
        </w:r>
      </w:hyperlink>
      <w:r w:rsidRPr="008B4485">
        <w:rPr>
          <w:rFonts w:ascii="Times New Roman" w:hAnsi="Times New Roman"/>
          <w:iCs/>
          <w:sz w:val="23"/>
          <w:szCs w:val="23"/>
        </w:rPr>
        <w:t xml:space="preserve">; 2010, 102-5279); </w:t>
      </w:r>
    </w:p>
    <w:p w:rsidR="00C94564" w:rsidRPr="008B4485" w:rsidRDefault="00C94564" w:rsidP="0097629C">
      <w:pPr>
        <w:pStyle w:val="prastasis1"/>
        <w:numPr>
          <w:ilvl w:val="0"/>
          <w:numId w:val="5"/>
        </w:numPr>
        <w:jc w:val="both"/>
        <w:rPr>
          <w:rFonts w:ascii="Times New Roman" w:hAnsi="Times New Roman"/>
          <w:sz w:val="23"/>
          <w:szCs w:val="23"/>
        </w:rPr>
      </w:pPr>
      <w:r w:rsidRPr="008B4485">
        <w:rPr>
          <w:rFonts w:ascii="Times New Roman" w:hAnsi="Times New Roman"/>
          <w:sz w:val="23"/>
          <w:szCs w:val="23"/>
        </w:rPr>
        <w:t>Strategija tęsia Lietuvos švietimo koncepcijos (patvirtintos 1992 m. spalio 22 d. Lietuvos švietimo tarybos, 1992 m. spalio 23 d. Lietuvos Respublikos kultūros ir švietimo ministerijos kolegijos) pradėtą Lietuvos švietimo raidos strateginį planavimą.</w:t>
      </w:r>
    </w:p>
    <w:p w:rsidR="00C94564" w:rsidRPr="008B4485" w:rsidRDefault="00C94564" w:rsidP="0097629C">
      <w:pPr>
        <w:pStyle w:val="prastasis1"/>
        <w:numPr>
          <w:ilvl w:val="0"/>
          <w:numId w:val="5"/>
        </w:numPr>
        <w:jc w:val="both"/>
        <w:rPr>
          <w:rFonts w:ascii="Times New Roman" w:hAnsi="Times New Roman"/>
          <w:sz w:val="23"/>
          <w:szCs w:val="23"/>
        </w:rPr>
      </w:pPr>
      <w:r>
        <w:rPr>
          <w:rFonts w:ascii="Times New Roman" w:hAnsi="Times New Roman"/>
          <w:sz w:val="23"/>
          <w:szCs w:val="23"/>
        </w:rPr>
        <w:t xml:space="preserve">Strategija rengiant paisyta </w:t>
      </w:r>
      <w:r w:rsidRPr="008B4485">
        <w:rPr>
          <w:rFonts w:ascii="Times New Roman" w:hAnsi="Times New Roman"/>
          <w:sz w:val="23"/>
          <w:szCs w:val="23"/>
        </w:rPr>
        <w:t>Valstybinės švietimo 2003–2012 metų strategijos įgy</w:t>
      </w:r>
      <w:r>
        <w:rPr>
          <w:rFonts w:ascii="Times New Roman" w:hAnsi="Times New Roman"/>
          <w:sz w:val="23"/>
          <w:szCs w:val="23"/>
        </w:rPr>
        <w:t>vendinimo pusiaukelės (</w:t>
      </w:r>
      <w:r w:rsidRPr="008B4485">
        <w:rPr>
          <w:rFonts w:ascii="Times New Roman" w:hAnsi="Times New Roman"/>
          <w:sz w:val="23"/>
          <w:szCs w:val="23"/>
        </w:rPr>
        <w:t>„Valstybinės švietimo strategijos įgyvendinimas 2003–2007“</w:t>
      </w:r>
      <w:r>
        <w:rPr>
          <w:rFonts w:ascii="Times New Roman" w:hAnsi="Times New Roman"/>
          <w:sz w:val="23"/>
          <w:szCs w:val="23"/>
        </w:rPr>
        <w:t xml:space="preserve">, Vilnius, ŠAC, 2007. </w:t>
      </w:r>
      <w:hyperlink r:id="rId13" w:history="1">
        <w:r w:rsidRPr="00F570CA">
          <w:rPr>
            <w:rStyle w:val="Hyperlink"/>
            <w:rFonts w:ascii="Times New Roman" w:hAnsi="Times New Roman"/>
            <w:sz w:val="23"/>
            <w:szCs w:val="23"/>
          </w:rPr>
          <w:t>http://www.smm.lt/strategija/docs/vss/Svietimo_strategija.pdf</w:t>
        </w:r>
      </w:hyperlink>
      <w:r>
        <w:rPr>
          <w:rFonts w:ascii="Times New Roman" w:hAnsi="Times New Roman"/>
          <w:sz w:val="23"/>
          <w:szCs w:val="23"/>
        </w:rPr>
        <w:t>) ir</w:t>
      </w:r>
      <w:r w:rsidRPr="008B4485">
        <w:rPr>
          <w:rFonts w:ascii="Times New Roman" w:hAnsi="Times New Roman"/>
          <w:sz w:val="23"/>
          <w:szCs w:val="23"/>
        </w:rPr>
        <w:t xml:space="preserve"> </w:t>
      </w:r>
      <w:r>
        <w:rPr>
          <w:rFonts w:ascii="Times New Roman" w:hAnsi="Times New Roman"/>
          <w:sz w:val="23"/>
          <w:szCs w:val="23"/>
        </w:rPr>
        <w:t>viso</w:t>
      </w:r>
      <w:r w:rsidRPr="008B4485">
        <w:rPr>
          <w:rFonts w:ascii="Times New Roman" w:hAnsi="Times New Roman"/>
          <w:sz w:val="23"/>
          <w:szCs w:val="23"/>
        </w:rPr>
        <w:t xml:space="preserve"> strateginio laikotarpio nuostatų įgyvendinimo </w:t>
      </w:r>
      <w:r>
        <w:rPr>
          <w:rFonts w:ascii="Times New Roman" w:hAnsi="Times New Roman"/>
          <w:sz w:val="23"/>
          <w:szCs w:val="23"/>
        </w:rPr>
        <w:t>įvertinimo</w:t>
      </w:r>
      <w:r w:rsidRPr="008B4485">
        <w:rPr>
          <w:rFonts w:ascii="Times New Roman" w:hAnsi="Times New Roman"/>
          <w:sz w:val="23"/>
          <w:szCs w:val="23"/>
        </w:rPr>
        <w:t xml:space="preserve"> </w:t>
      </w:r>
      <w:r>
        <w:rPr>
          <w:rFonts w:ascii="Times New Roman" w:hAnsi="Times New Roman"/>
          <w:sz w:val="23"/>
          <w:szCs w:val="23"/>
        </w:rPr>
        <w:t>(</w:t>
      </w:r>
      <w:r w:rsidRPr="008B4485">
        <w:rPr>
          <w:rFonts w:ascii="Times New Roman" w:hAnsi="Times New Roman"/>
          <w:sz w:val="23"/>
          <w:szCs w:val="23"/>
        </w:rPr>
        <w:t>„Valstybinės švietimo strategijos įgyvendinimas 2003–2012“</w:t>
      </w:r>
      <w:r>
        <w:rPr>
          <w:rFonts w:ascii="Times New Roman" w:hAnsi="Times New Roman"/>
          <w:sz w:val="23"/>
          <w:szCs w:val="23"/>
        </w:rPr>
        <w:t xml:space="preserve">, Vilnius, ŠAC, 2012. </w:t>
      </w:r>
      <w:hyperlink r:id="rId14" w:history="1">
        <w:r w:rsidRPr="00F570CA">
          <w:rPr>
            <w:rStyle w:val="Hyperlink"/>
            <w:rFonts w:ascii="Times New Roman" w:hAnsi="Times New Roman"/>
            <w:sz w:val="23"/>
            <w:szCs w:val="23"/>
          </w:rPr>
          <w:t>http://www.smm.lt/strategija/docs/vssi/1562_Svietimo_strategija%202012.pdf</w:t>
        </w:r>
      </w:hyperlink>
      <w:r>
        <w:rPr>
          <w:rFonts w:ascii="Times New Roman" w:hAnsi="Times New Roman"/>
          <w:sz w:val="23"/>
          <w:szCs w:val="23"/>
        </w:rPr>
        <w:t>)</w:t>
      </w:r>
      <w:r w:rsidRPr="008B4485">
        <w:rPr>
          <w:rFonts w:ascii="Times New Roman" w:hAnsi="Times New Roman"/>
          <w:sz w:val="23"/>
          <w:szCs w:val="23"/>
        </w:rPr>
        <w:t xml:space="preserve">. </w:t>
      </w:r>
    </w:p>
    <w:p w:rsidR="00C94564" w:rsidRPr="008B4485" w:rsidRDefault="00C94564" w:rsidP="00B71A7E">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Rengiant Strategijos turinį, remtasi: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Per viešąsias konsultacijas (organizuotas nuo 2010 m.) su įvairiomis visuomenės grupėmis, įskaitant edukologijos ir kitų mokslo krypčių atstovus, išsakytais lūkesčiais ir įžvalgomis;</w:t>
      </w:r>
    </w:p>
    <w:p w:rsidR="00C94564" w:rsidRPr="008B4485" w:rsidRDefault="00C94564" w:rsidP="00817C05">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Respublikos švietimo ir mokslo ministerijos paskelbtam švietimo raidos scenarijų konkursui pateiktais, ekspertų nuomone, geriausiais scenarijais.</w:t>
      </w:r>
    </w:p>
    <w:p w:rsidR="00C94564" w:rsidRPr="008B4485" w:rsidRDefault="00C94564" w:rsidP="00CE4140">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Valstybės pažangos strategijoje „Lietuvos pažangos strategija „Lietuva 2030“ keliamais uždaviniais švietimui;</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Respublikos švietimo įstatymu</w:t>
      </w:r>
      <w:r w:rsidRPr="008B4485">
        <w:rPr>
          <w:rFonts w:ascii="Times New Roman" w:hAnsi="Times New Roman"/>
          <w:iCs/>
          <w:sz w:val="23"/>
          <w:szCs w:val="23"/>
        </w:rPr>
        <w:t>;</w:t>
      </w:r>
    </w:p>
    <w:p w:rsidR="00C94564" w:rsidRPr="008B4485" w:rsidRDefault="00C94564" w:rsidP="00F25F68">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Lietuvos Respublikos mokslo ir studijų įstatymu (Žin., 2009, Nr. </w:t>
      </w:r>
      <w:hyperlink r:id="rId15" w:history="1">
        <w:r w:rsidRPr="008B4485">
          <w:rPr>
            <w:rStyle w:val="Hyperlink"/>
            <w:rFonts w:ascii="Times New Roman" w:hAnsi="Times New Roman"/>
            <w:color w:val="auto"/>
            <w:sz w:val="23"/>
            <w:szCs w:val="23"/>
            <w:u w:val="none"/>
          </w:rPr>
          <w:t>54-2</w:t>
        </w:r>
        <w:r w:rsidRPr="008B4485">
          <w:rPr>
            <w:rStyle w:val="Hyperlink"/>
            <w:rFonts w:ascii="Times New Roman" w:hAnsi="Times New Roman"/>
            <w:caps/>
            <w:color w:val="auto"/>
            <w:sz w:val="23"/>
            <w:szCs w:val="23"/>
            <w:u w:val="none"/>
          </w:rPr>
          <w:t>140</w:t>
        </w:r>
      </w:hyperlink>
      <w:r w:rsidRPr="008B4485">
        <w:rPr>
          <w:rFonts w:ascii="Times New Roman" w:hAnsi="Times New Roman"/>
          <w:sz w:val="23"/>
          <w:szCs w:val="23"/>
        </w:rPr>
        <w:t>);</w:t>
      </w:r>
    </w:p>
    <w:p w:rsidR="00C94564" w:rsidRPr="008B4485" w:rsidRDefault="00C94564" w:rsidP="000915C4">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Respublikos p</w:t>
      </w:r>
      <w:r w:rsidRPr="008B4485">
        <w:rPr>
          <w:rFonts w:ascii="Times New Roman" w:hAnsi="Times New Roman"/>
          <w:iCs/>
          <w:sz w:val="23"/>
          <w:szCs w:val="23"/>
        </w:rPr>
        <w:t xml:space="preserve">rofesinio mokymo įstatymu (Žin., 1997, Nr. </w:t>
      </w:r>
      <w:hyperlink r:id="rId16" w:history="1">
        <w:r w:rsidRPr="00A41B15">
          <w:rPr>
            <w:rStyle w:val="Hyperlink"/>
            <w:rFonts w:ascii="Times New Roman" w:hAnsi="Times New Roman"/>
            <w:iCs/>
            <w:sz w:val="23"/>
            <w:szCs w:val="23"/>
          </w:rPr>
          <w:t>98-2478</w:t>
        </w:r>
      </w:hyperlink>
      <w:r w:rsidRPr="008B4485">
        <w:rPr>
          <w:rFonts w:ascii="Times New Roman" w:hAnsi="Times New Roman"/>
          <w:iCs/>
          <w:sz w:val="23"/>
          <w:szCs w:val="23"/>
        </w:rPr>
        <w:t xml:space="preserve">; 2007, </w:t>
      </w:r>
      <w:r w:rsidRPr="008B4485">
        <w:rPr>
          <w:rFonts w:ascii="Times New Roman" w:hAnsi="Times New Roman"/>
          <w:sz w:val="23"/>
          <w:szCs w:val="23"/>
        </w:rPr>
        <w:t xml:space="preserve">Nr. </w:t>
      </w:r>
      <w:hyperlink r:id="rId17" w:history="1">
        <w:r w:rsidRPr="00A41B15">
          <w:rPr>
            <w:rStyle w:val="Hyperlink"/>
            <w:rFonts w:ascii="Times New Roman" w:hAnsi="Times New Roman"/>
            <w:sz w:val="23"/>
            <w:szCs w:val="23"/>
          </w:rPr>
          <w:t>43-1627</w:t>
        </w:r>
      </w:hyperlink>
      <w:r w:rsidRPr="008B4485">
        <w:rPr>
          <w:rFonts w:ascii="Times New Roman" w:hAnsi="Times New Roman"/>
          <w:iCs/>
          <w:sz w:val="23"/>
          <w:szCs w:val="23"/>
        </w:rPr>
        <w:t>);</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švietimo būklę atskleidžiančių duomenų analize.</w:t>
      </w:r>
    </w:p>
    <w:p w:rsidR="00C94564" w:rsidRPr="008B4485" w:rsidRDefault="00C94564" w:rsidP="00084662">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Respublikos jaunimo politikos pagrindų įstatymu (Žin., 2003, Nr.</w:t>
      </w:r>
      <w:hyperlink r:id="rId18" w:history="1">
        <w:r w:rsidRPr="00A41B15">
          <w:rPr>
            <w:rStyle w:val="Hyperlink"/>
            <w:rFonts w:ascii="Times New Roman" w:hAnsi="Times New Roman"/>
            <w:sz w:val="23"/>
            <w:szCs w:val="23"/>
          </w:rPr>
          <w:t>119-5406</w:t>
        </w:r>
      </w:hyperlink>
      <w:r w:rsidRPr="008B4485">
        <w:rPr>
          <w:rFonts w:ascii="Times New Roman" w:hAnsi="Times New Roman"/>
          <w:sz w:val="23"/>
          <w:szCs w:val="23"/>
        </w:rPr>
        <w:t xml:space="preserve">; 2005, Nr. </w:t>
      </w:r>
      <w:hyperlink r:id="rId19" w:history="1">
        <w:r w:rsidRPr="00A41B15">
          <w:rPr>
            <w:rStyle w:val="Hyperlink"/>
            <w:rFonts w:ascii="Times New Roman" w:hAnsi="Times New Roman"/>
            <w:sz w:val="23"/>
            <w:szCs w:val="23"/>
          </w:rPr>
          <w:t>144-5238</w:t>
        </w:r>
      </w:hyperlink>
      <w:r w:rsidRPr="008B4485">
        <w:rPr>
          <w:rFonts w:ascii="Times New Roman" w:hAnsi="Times New Roman"/>
          <w:sz w:val="23"/>
          <w:szCs w:val="23"/>
        </w:rPr>
        <w:t>).</w:t>
      </w:r>
    </w:p>
    <w:p w:rsidR="00C94564" w:rsidRPr="008B4485" w:rsidRDefault="00C94564" w:rsidP="007A690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lang w:eastAsia="lt-LT"/>
        </w:rPr>
        <w:t xml:space="preserve">Lietuvos Respublikos lygių galimybių įstatymu (Žin., 2003, Nr. </w:t>
      </w:r>
      <w:hyperlink r:id="rId20" w:history="1">
        <w:r w:rsidRPr="00A41B15">
          <w:rPr>
            <w:rStyle w:val="Hyperlink"/>
            <w:rFonts w:ascii="Times New Roman" w:hAnsi="Times New Roman"/>
            <w:sz w:val="23"/>
            <w:szCs w:val="23"/>
            <w:lang w:eastAsia="lt-LT"/>
          </w:rPr>
          <w:t>114-5115</w:t>
        </w:r>
      </w:hyperlink>
      <w:r w:rsidRPr="008B4485">
        <w:rPr>
          <w:rFonts w:ascii="Times New Roman" w:hAnsi="Times New Roman"/>
          <w:sz w:val="23"/>
          <w:szCs w:val="23"/>
          <w:lang w:eastAsia="lt-LT"/>
        </w:rPr>
        <w:t xml:space="preserve">; 2008, Nr. </w:t>
      </w:r>
      <w:hyperlink r:id="rId21" w:history="1">
        <w:r w:rsidRPr="00A41B15">
          <w:rPr>
            <w:rStyle w:val="Hyperlink"/>
            <w:rFonts w:ascii="Times New Roman" w:hAnsi="Times New Roman"/>
            <w:sz w:val="23"/>
            <w:szCs w:val="23"/>
            <w:lang w:eastAsia="lt-LT"/>
          </w:rPr>
          <w:t>76-2998</w:t>
        </w:r>
      </w:hyperlink>
      <w:r w:rsidRPr="008B4485">
        <w:rPr>
          <w:rFonts w:ascii="Times New Roman" w:hAnsi="Times New Roman"/>
          <w:sz w:val="23"/>
          <w:szCs w:val="23"/>
          <w:lang w:eastAsia="lt-LT"/>
        </w:rPr>
        <w:t>);</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lang w:eastAsia="lt-LT"/>
        </w:rPr>
        <w:t xml:space="preserve">Jungtinių Tautų neįgaliųjų teisių konvencija, ratifikuota Lietuvos Respublikos įstatymu „Dėl Jungtinių Tautų neįgaliųjų teisių konvencijos ir jos Fakultatyvaus protokolo ratifikavimo“ (Žin., 2010, Nr. </w:t>
      </w:r>
      <w:hyperlink r:id="rId22" w:history="1">
        <w:r w:rsidRPr="00A41B15">
          <w:rPr>
            <w:rStyle w:val="Hyperlink"/>
            <w:rFonts w:ascii="Times New Roman" w:hAnsi="Times New Roman"/>
            <w:sz w:val="23"/>
            <w:szCs w:val="23"/>
            <w:lang w:eastAsia="lt-LT"/>
          </w:rPr>
          <w:t>67-3350</w:t>
        </w:r>
      </w:hyperlink>
      <w:bookmarkStart w:id="0" w:name="_GoBack"/>
      <w:r w:rsidRPr="008B4485">
        <w:rPr>
          <w:rFonts w:ascii="Times New Roman" w:hAnsi="Times New Roman"/>
          <w:sz w:val="23"/>
          <w:szCs w:val="23"/>
          <w:lang w:eastAsia="lt-LT"/>
        </w:rPr>
        <w:t>).</w:t>
      </w:r>
      <w:bookmarkEnd w:id="0"/>
    </w:p>
    <w:p w:rsidR="00C94564" w:rsidRPr="008B4485" w:rsidRDefault="00C94564" w:rsidP="00B71A7E">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Strategija parengta atsižvelgiant į Europos Sąjungos politikos dokumentus, galiojančius iki 2020 metų. </w:t>
      </w:r>
    </w:p>
    <w:p w:rsidR="00C94564" w:rsidRPr="008B4485" w:rsidRDefault="00C94564" w:rsidP="00891FE8">
      <w:pPr>
        <w:numPr>
          <w:ilvl w:val="0"/>
          <w:numId w:val="5"/>
        </w:numPr>
        <w:spacing w:after="0" w:line="240" w:lineRule="auto"/>
        <w:jc w:val="both"/>
        <w:rPr>
          <w:rFonts w:ascii="Times New Roman" w:hAnsi="Times New Roman"/>
          <w:sz w:val="23"/>
          <w:szCs w:val="23"/>
        </w:rPr>
      </w:pPr>
      <w:r w:rsidRPr="008B4485">
        <w:rPr>
          <w:rFonts w:ascii="Times New Roman" w:hAnsi="Times New Roman"/>
          <w:bCs/>
          <w:sz w:val="23"/>
          <w:szCs w:val="23"/>
        </w:rPr>
        <w:t>Strategija remiasi Lietuvos Respublikos švietimo įstatyme, Lietuvos Respublikos mokslo ir studijų įstatyme ir Valstybės pažangos strategijoje „Lietuvos pažangos strategija „Lietuva 2030“ įtvirtintais ir kitais vertybiniais principais: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bCs/>
          <w:sz w:val="23"/>
          <w:szCs w:val="23"/>
        </w:rPr>
        <w:t>humaniškumas, demokratiškumas ir lygios galimybės, pilietiškumas, laisvės realizavimas ir etika, tolerancija ir dialogiškumas;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bCs/>
          <w:sz w:val="23"/>
          <w:szCs w:val="23"/>
        </w:rPr>
        <w:t>nacionalinė tapatybė, istorijos pažinimu grįstas tradicijos tęstinumas ir atvirumas kultūrų įvairovei;</w:t>
      </w:r>
    </w:p>
    <w:p w:rsidR="00C94564" w:rsidRPr="008B4485" w:rsidRDefault="00C94564" w:rsidP="00EA6268">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bendradarbiavimas, bendras darbas ir įvairių visuomenės grupių nuomonių nuolatinis keitimasis bei indėlis į bendrus tikslus;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bCs/>
          <w:sz w:val="23"/>
          <w:szCs w:val="23"/>
        </w:rPr>
        <w:t>kūrybiškumas, išradingumas, saviraiška, savo ir visuomenės sėkmės kūrimas generuojant idėjas bei jas įgyvendinant, kontekstualus atvirumas naujovėms ir geriausiai pasaulio praktikai;</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bCs/>
          <w:sz w:val="23"/>
          <w:szCs w:val="23"/>
        </w:rPr>
        <w:t>atsakingumas už savo veiksmus, aktyvus rūpinimasis savimi, aplinka, bendruomene, šalimi, efektyvus veikimas siekiant tikslų.</w:t>
      </w:r>
    </w:p>
    <w:p w:rsidR="00C94564" w:rsidRPr="008B4485" w:rsidRDefault="00C94564" w:rsidP="00D57556">
      <w:pPr>
        <w:numPr>
          <w:ilvl w:val="0"/>
          <w:numId w:val="5"/>
        </w:numPr>
        <w:spacing w:after="0" w:line="240" w:lineRule="auto"/>
        <w:jc w:val="both"/>
        <w:rPr>
          <w:rFonts w:ascii="Times New Roman" w:hAnsi="Times New Roman"/>
          <w:sz w:val="23"/>
          <w:szCs w:val="23"/>
        </w:rPr>
      </w:pPr>
      <w:r w:rsidRPr="008B4485">
        <w:rPr>
          <w:rFonts w:ascii="Times New Roman" w:hAnsi="Times New Roman"/>
          <w:bCs/>
          <w:sz w:val="23"/>
          <w:szCs w:val="23"/>
        </w:rPr>
        <w:t>Švietimo misija – suteikti kiekvienam su Lietuva save susiejusiam asmeniui savarankiško ir aktyvaus gyvenimo pagrindus, padėti nuolat tobulinti savo gebėjimus, tapti visaverčiu demokratinės visuomenės nariu, aktyviai dalyvaujančiu socialiniame, ekonominiame ir kultūriniame gyvenime.</w:t>
      </w:r>
    </w:p>
    <w:p w:rsidR="00C94564" w:rsidRPr="008B4485" w:rsidRDefault="00C94564" w:rsidP="000632F5">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Švietimas savo paskirtį geriausiai atlieka tada, kai jo raida lenkia bendrąją visuomenės raidą – daro progresyvinę įtaką mąstymo ir veikimo kultūrai. Esminis sėkmės veiksnys – švietimo institucijų ir visuomenės narių dinamiška sąveika kuriant sumanią visuomenę. Tik taip švietimas gali prisidėti prie Lietuvos tikslo </w:t>
      </w:r>
      <w:r w:rsidRPr="008B4485">
        <w:rPr>
          <w:rFonts w:ascii="Times New Roman" w:hAnsi="Times New Roman"/>
          <w:bCs/>
          <w:sz w:val="23"/>
          <w:szCs w:val="23"/>
        </w:rPr>
        <w:t>tapti modernia, veržlia, atvira pasauliui, puoselėjančia savo nacionalinį tapatumą šalimi.</w:t>
      </w:r>
    </w:p>
    <w:p w:rsidR="00C94564" w:rsidRPr="008B4485" w:rsidRDefault="00C94564" w:rsidP="007C6890">
      <w:pPr>
        <w:spacing w:after="0" w:line="240" w:lineRule="auto"/>
        <w:jc w:val="both"/>
        <w:rPr>
          <w:rFonts w:ascii="Times New Roman" w:hAnsi="Times New Roman"/>
          <w:sz w:val="23"/>
          <w:szCs w:val="23"/>
        </w:rPr>
      </w:pPr>
    </w:p>
    <w:p w:rsidR="00C94564" w:rsidRPr="008B4485" w:rsidRDefault="00C94564" w:rsidP="007C6890">
      <w:pPr>
        <w:spacing w:after="0" w:line="240" w:lineRule="auto"/>
        <w:jc w:val="both"/>
        <w:rPr>
          <w:rFonts w:ascii="Times New Roman" w:hAnsi="Times New Roman"/>
          <w:sz w:val="23"/>
          <w:szCs w:val="23"/>
        </w:rPr>
      </w:pPr>
    </w:p>
    <w:p w:rsidR="00C94564" w:rsidRPr="008B4485" w:rsidRDefault="00C94564" w:rsidP="00D862F7">
      <w:pPr>
        <w:numPr>
          <w:ilvl w:val="0"/>
          <w:numId w:val="1"/>
        </w:numPr>
        <w:spacing w:line="240" w:lineRule="auto"/>
        <w:ind w:left="0" w:firstLine="0"/>
        <w:contextualSpacing/>
        <w:jc w:val="center"/>
        <w:rPr>
          <w:rFonts w:ascii="Times New Roman" w:hAnsi="Times New Roman"/>
          <w:b/>
          <w:sz w:val="23"/>
          <w:szCs w:val="23"/>
        </w:rPr>
      </w:pPr>
      <w:r w:rsidRPr="008B4485">
        <w:rPr>
          <w:rFonts w:ascii="Times New Roman" w:hAnsi="Times New Roman"/>
          <w:b/>
          <w:sz w:val="23"/>
          <w:szCs w:val="23"/>
        </w:rPr>
        <w:t>STRATEGIJOS TIKSLAI IR ĮGYVENDINIMO KRYPTYS (UŽDAVINIAI)</w:t>
      </w:r>
    </w:p>
    <w:p w:rsidR="00C94564" w:rsidRPr="008B4485" w:rsidRDefault="00C94564" w:rsidP="00EE796C">
      <w:pPr>
        <w:spacing w:after="0" w:line="240" w:lineRule="auto"/>
        <w:ind w:firstLine="567"/>
        <w:jc w:val="both"/>
        <w:rPr>
          <w:rFonts w:ascii="Times New Roman" w:hAnsi="Times New Roman"/>
          <w:sz w:val="23"/>
          <w:szCs w:val="23"/>
        </w:rPr>
      </w:pPr>
    </w:p>
    <w:p w:rsidR="00C94564" w:rsidRPr="008B4485" w:rsidRDefault="00C94564" w:rsidP="00523F6D">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Pagrindinis strateginis tikslas – paversti Lietuvos švietimą tvariu pagrindu veržliam ir savarankiškam žmogui, atsakingai ir solidariai kuriančiam savo, valstybės ir pasaulio ateitį.</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Pagrindinius valstybės poreikius įvardija Valstybės pažangos strategija „Lietuvos pažangos strategija „Lietuva 2030“, iškėlusi sumanios Lietuvos viziją. Visuomenė turi tapti veikli, solidari, nuolat besimokanti. Kiekvienas asmuo – atviras kaitai, kūrybingas ir atsakingas. Tik taip Lietuva galėtų atsirasti tarp 10 pažangiausių Europos Sąjungos valstybių narių, o kiekvienas asmuo taptų savarankiškai kuriančiu savo sėkmę sąmoningu piliečiu, įsiliejančiu į tokių pat asmenų nacionalinę ir pasaulinę bendruomenę, pažangią ekonomiką ir savitą nacionalinę kultūrą. Todėl švietimui tenka pareiga sutelkti švietimo bendruomenę ir visus Lietuvos žmones (solidarumas) nuolat kryptingai lavintis (mokymasis) siekiant asmeninės ir šalies sėkmės (veiklumas).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švietimo vizija – kiekvienas mažas, jaunas ir suaugęs žmogus Lietuvoje siekia ir nesunkiai randa kur mokytis, šalies švietimo sistemą sudaro valstybinės, savivaldybių ir nevalstybinės nuolat tobulėjančios ir tarpusavyje bei su partneriais bendradarbiaujančios švietimo įstaigos bei paslaugos, teikiamos autoritetą visuomenėje turinčių švietimo darbuotojų, visuomenėje palaikančių nuolatinę diskusiją dėl šalies švietimo plėtotės, atsižvelgiant į miesto ir kaimo darnią raidą, Lietuvos žmonių asmeninę sėkmę ir kultūros bei ūkio plėtrą.</w:t>
      </w:r>
    </w:p>
    <w:p w:rsidR="00C94564" w:rsidRPr="008B4485" w:rsidRDefault="00C94564" w:rsidP="001A5C9F">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Lietuva yra nemažai pasiekusi švietimo prieinamumo srityje. Esame pirmi Europos Sąjungoje pagal darbingo amžiaus (25–64 metų) asmenų vidurinio išsilavinimo (ne žemiau vidurinio) lygį (nuo 2010 metų), dešimtuke pagal jaunimo aukštojo išsilavinimo lygį. Tačiau vis dar atsiliekame pagal įtraukties į ikimokyklinį, priešmokyklinį ugdymą, suaugusiųjų švietimą lygį, turime socialinės atskirties rizikos grupių, ypač jaunimo, kuriems neužtikrinamos lygios galimybės dalyvauti visuomenės gyvenime, jie sunkiai integruojasi į darbo rinką. Vadinasi, būtina plėtoti alternatyvas švietimo sistemoje, kurios būtų prieinamos, patrauklios ir vertingos dabar menkai į mokymąsi įtrauktoms visuomenės grupėms – ikimokyklinio amžiaus vaikams, </w:t>
      </w:r>
      <w:r w:rsidRPr="008B4485">
        <w:rPr>
          <w:rFonts w:ascii="Times New Roman" w:hAnsi="Times New Roman"/>
          <w:b/>
          <w:sz w:val="23"/>
          <w:szCs w:val="23"/>
        </w:rPr>
        <w:t>socialinės rizikos grupės jaunimui</w:t>
      </w:r>
      <w:r w:rsidRPr="008B4485">
        <w:rPr>
          <w:rFonts w:ascii="Times New Roman" w:hAnsi="Times New Roman"/>
          <w:sz w:val="23"/>
          <w:szCs w:val="23"/>
        </w:rPr>
        <w:t>, suaugusiesiems, taip pat kaimo gyventojams. Taip pat turime sukurti įvairesnes paskatas ir sąlygas mokytis, ugdyti kiekvieno gebėjimą atpažinti save veiklos pasaulyje bei sudaryti sąlygas formalizuoti turimas žinias bei kompetencijas, nepriklausomai nuo to, ar jos įgytos savarankiškai mokantis, ar veikiant praktiškai, formaliuoju ar neformaliuoju būdu.</w:t>
      </w:r>
    </w:p>
    <w:p w:rsidR="00C94564" w:rsidRPr="008B4485" w:rsidRDefault="00C94564" w:rsidP="001A5C9F">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bendrojo ugdymo ir aukštosios mokyklos nepakankamai išnaudoja turimą potencialą siekdamos geresnės kokybės bei sąveikos su žmogaus ir visuomenės poreikiais. Pastaraisiais metais daug nuveikta į bendrojo ugdymo mokyklas diegiant įsivertinimo, planavimo, socialinės partnerystės ir tinklaveikos elementus, tačiau tokia praktika vis dar netapo tradicine, savaimine mokyklų kultūra, dažniau apsiribojama teisės aktų ar laikinų projektų vykdymu. Pasauliniuose reitinguose neturime įsitvirtinusių Lietuvos aukštųjų mokyklų, kurios rengdamos specialistus visiškai pateisintų visuomenės lūkesčius. Mažai pritraukiame užsienio jaunimo studijuoti Lietuvos aukštosiose mokyklose, vangiai perimame geriausią tarptautinę studijų patirtį. Lietuvos aukštasis mokslas menkai įsitraukęs į mokymąsi visą gyvenimą. Aukštosios mokyklos tik mokosi derinti autonomiją su atskaitomybe visuomenei bei atsakomybe už veiklą, menkai į veiklas įtraukia socialinius partnerius, mažai naudoja šiuolaikines institucinio valdymo, drauge ir studijų kokybės valdymo praktikas. Visais švietimo lygiais pernelyg menkai išplėtota įsivertinimo kultūra, mokyklų bendruomenės nėra aktyviai įsitraukusios į kokybės kūrimo procesus kaip sprendimų siūlytojai ir priėmėjai. Todėl reikia plėtoti tokią kultūrą, kad tyrimai, vertinimai būtų nukreipiami į tai, jog rastųsi įrodymais, patirtimi bei žinojimu grįsta lyderystė, atsakomybė bei įsitraukimas, švietimo tikslui pasiekti visuose švietimo valdymo lygiuose išnaudojantis visų švietimo dalyvių ir socialinių partnerių gebėjimus.</w:t>
      </w:r>
    </w:p>
    <w:p w:rsidR="00C94564" w:rsidRPr="008B4485" w:rsidRDefault="00C94564" w:rsidP="00032877">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Remiantis Tarptautinės švietimo pasiekimų vertinimo asociacijos (angl. „</w:t>
      </w:r>
      <w:r w:rsidRPr="008B4485">
        <w:rPr>
          <w:rFonts w:ascii="Times New Roman" w:hAnsi="Times New Roman"/>
          <w:sz w:val="23"/>
          <w:szCs w:val="23"/>
          <w:lang w:val="en-GB"/>
        </w:rPr>
        <w:t>International Association for the Evaluation of Educational Achievement</w:t>
      </w:r>
      <w:r w:rsidRPr="008B4485">
        <w:rPr>
          <w:rFonts w:ascii="Times New Roman" w:hAnsi="Times New Roman"/>
          <w:sz w:val="23"/>
          <w:szCs w:val="23"/>
        </w:rPr>
        <w:t xml:space="preserve">“, toliau – </w:t>
      </w:r>
      <w:r w:rsidRPr="008B4485">
        <w:rPr>
          <w:rFonts w:ascii="Times New Roman" w:hAnsi="Times New Roman"/>
          <w:sz w:val="23"/>
          <w:szCs w:val="23"/>
          <w:lang w:val="en-GB"/>
        </w:rPr>
        <w:t>IEA</w:t>
      </w:r>
      <w:r w:rsidRPr="008B4485">
        <w:rPr>
          <w:rFonts w:ascii="Times New Roman" w:hAnsi="Times New Roman"/>
          <w:sz w:val="23"/>
          <w:szCs w:val="23"/>
        </w:rPr>
        <w:t>) Tarptautinio skaitymo gebėjimų tyrimo (angl. „Progress in International Reading Literacy Study“, toliau – PIRLS) duomenimis, Lietuvos vaikų pradinio ugdymo skaitymo gebėjimų pasiekimai yra palyginti geri, tačiau pagrindinio ugdymo pakopoje pagal Ekonominio ir socialinio bendradarbiavimo ir plėtros  organizacijos (angl. „</w:t>
      </w:r>
      <w:r w:rsidRPr="008B4485">
        <w:rPr>
          <w:rFonts w:ascii="Times New Roman" w:hAnsi="Times New Roman"/>
          <w:sz w:val="23"/>
          <w:szCs w:val="23"/>
          <w:lang w:val="en-GB"/>
        </w:rPr>
        <w:t>Organisation for Economic and Social Cooperation and Development</w:t>
      </w:r>
      <w:r w:rsidRPr="008B4485">
        <w:rPr>
          <w:rFonts w:ascii="Times New Roman" w:hAnsi="Times New Roman"/>
          <w:sz w:val="23"/>
          <w:szCs w:val="23"/>
        </w:rPr>
        <w:t xml:space="preserve">“, toliau – OECD) Tarptautinės moksleivių vertinimo programos (angl. „Programme for International Student Assessment“, toliau – PISA) tyrimus, jie jau žemesni nei Europos Sąjungos vidurkis. Pagal IEA Tarptautinio matematikos ir gamtos mokslų tyrimo (angl. „Trends in International Mathematics and Science Study“, toliau – TIMSS) duomenis, nuo Nepriklausomybės pradžios Lietuvoje užfiksuota didžiausia matematikos ir gamtos mokslų rezultatų pažanga lyginant su kitomis šalimis, tačiau OECD šalių vidurkis vertinat penkiolikmečių skaitymo gebėjimus, gamtamokslį, matematinį raštingumą (OECD PISA duomenys) yra aukštesnis negu Lietuvos. </w:t>
      </w:r>
    </w:p>
    <w:p w:rsidR="00C94564" w:rsidRPr="008B4485" w:rsidRDefault="00C94564" w:rsidP="00032877">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Iki šiol nepavyksta ugdymo proceso pakreipti, socialinių partnerių ir bendruomenių suburti esminėms kompetencijoms ugdyti. Vis dažniau susiduriama su motyvacijos mokytis stoka. Visuomenės pasitikėjimas švietimu nėra žemas (pastaruosius penkerius metus svyravo nuo 40 iki 50 proc.), tačiau tai sudaro prielaidas ir dideliems lūkesčiams – norima, kad mokykla drauge su tėvais ugdytų kūrybiškus žmones, asmenybes, išmanančias valstybės bei kaimyninių šalių istoriją bei kultūrą, norinčias siekti naujų žinių ir tobulėti, gebančias prisiimti atsakomybę už save bei valstybę. Šie tikslai daug labiau nei anksčiau susiję su išskirtiniais reikalavimais mokytojams, dėstytojams. Jų asmeninės savybės, motyvacija, kūrybiškumas bei noras nuolat tobulėti, gebėjimas perimti gerąją praktiką yra pagrindinis Lietuvos švietimo sėkmės laidas. Todėl būtina atrasti paskatas ir sąlygas kurtis reflektuojančių, kūrybingų ir profesionalių mokytojų ir dėstytojų bendruomenėms, ugdyti švietimo įstaigų vadovų telkiančios lyderystės gebėjimus.</w:t>
      </w:r>
    </w:p>
    <w:p w:rsidR="00C94564" w:rsidRPr="008B4485" w:rsidRDefault="00C94564" w:rsidP="00EA6268">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Globalizacijos amžiuje svarbu iš naujo persvarstyti savo tautinį tapatumą, suvokti, kas mus (įskaitant išvykstančius iš Lietuvos ir atvykstančius čia gyventi) vienija ir sieja su Lietuvos valstybe. Valstybės pažangos strategija „Lietuvos pažangos strategija „Lietuva 2030“ ir švietimui kelia uždavinius stiprinti piliečių istorinę savimonę ir savigarbą, skatinant įvairių rūšių kultūrinę ir meninę raišką, atnaujinant švietimo programas, sumaniai naudojant paveldo objektus ugdymo reikmėms. Svarbūs ir Lietuvos švietimo ryšiai su pasaulio lietuviais siekiant palaikyti jų tautinį tapatumą.</w:t>
      </w:r>
    </w:p>
    <w:p w:rsidR="00C94564" w:rsidRPr="008B4485" w:rsidRDefault="00C94564" w:rsidP="000B7AC3">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Strategijos tikslai: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Pasiekti tokį pedagoginių bendruomenių lygį, kai jų kritinę masę sudaro reflektuojantys, nuolat tobulėjantys ir rezultatyviai dirbantys profesionalūs mokytojai ir dėstytojai.</w:t>
      </w:r>
    </w:p>
    <w:p w:rsidR="00C94564" w:rsidRPr="008B4485" w:rsidRDefault="00C94564" w:rsidP="002B0646">
      <w:pPr>
        <w:numPr>
          <w:ilvl w:val="1"/>
          <w:numId w:val="5"/>
        </w:numPr>
        <w:spacing w:after="0" w:line="240" w:lineRule="auto"/>
        <w:ind w:left="0"/>
        <w:jc w:val="both"/>
        <w:rPr>
          <w:rFonts w:ascii="Times New Roman" w:hAnsi="Times New Roman"/>
          <w:strike/>
          <w:sz w:val="23"/>
          <w:szCs w:val="23"/>
        </w:rPr>
      </w:pPr>
      <w:r w:rsidRPr="008B4485">
        <w:rPr>
          <w:rFonts w:ascii="Times New Roman" w:hAnsi="Times New Roman"/>
          <w:sz w:val="23"/>
          <w:szCs w:val="23"/>
        </w:rPr>
        <w:t xml:space="preserve">Įdiegti duomenų analize ir įsivertinimu grįstą švietimo kultūrą, užtikrinančią savivaldos, socialinės partnerystės ir vadovų lyderystės darną. </w:t>
      </w:r>
    </w:p>
    <w:p w:rsidR="00C94564" w:rsidRPr="008B4485" w:rsidRDefault="00C94564" w:rsidP="002B0646">
      <w:pPr>
        <w:numPr>
          <w:ilvl w:val="1"/>
          <w:numId w:val="5"/>
        </w:numPr>
        <w:spacing w:after="0" w:line="240" w:lineRule="auto"/>
        <w:ind w:left="0"/>
        <w:jc w:val="both"/>
        <w:rPr>
          <w:rFonts w:ascii="Times New Roman" w:hAnsi="Times New Roman"/>
          <w:b/>
          <w:sz w:val="23"/>
          <w:szCs w:val="23"/>
        </w:rPr>
      </w:pPr>
      <w:r w:rsidRPr="008B4485">
        <w:rPr>
          <w:rFonts w:ascii="Times New Roman" w:hAnsi="Times New Roman"/>
          <w:sz w:val="23"/>
          <w:szCs w:val="23"/>
        </w:rPr>
        <w:t xml:space="preserve">Maksimaliai plėtojant vaikų ir jaunimo neformaliojo švietimo aprėptį suteikti mokiniams, studentams bei jaunimui palankiausias galimybes išskleisti individualius gebėjimus ir tenkinti specialiuosius ugdymosi poreikius. </w:t>
      </w:r>
    </w:p>
    <w:p w:rsidR="00C94564" w:rsidRPr="008B4485" w:rsidRDefault="00C94564" w:rsidP="000B7AC3">
      <w:pPr>
        <w:numPr>
          <w:ilvl w:val="1"/>
          <w:numId w:val="5"/>
        </w:numPr>
        <w:spacing w:after="0" w:line="240" w:lineRule="auto"/>
        <w:ind w:left="0"/>
        <w:jc w:val="both"/>
        <w:rPr>
          <w:rFonts w:ascii="Times New Roman" w:hAnsi="Times New Roman"/>
          <w:b/>
          <w:sz w:val="23"/>
          <w:szCs w:val="23"/>
        </w:rPr>
      </w:pPr>
      <w:r w:rsidRPr="008B4485">
        <w:rPr>
          <w:rFonts w:ascii="Times New Roman" w:hAnsi="Times New Roman"/>
          <w:sz w:val="23"/>
          <w:szCs w:val="23"/>
        </w:rPr>
        <w:t>Sukurti paskatų ir sąlygų mokytis visą gyvenimą sistemą, grįstą veiksnia pagalba atpažįstant save ir renkantis kelią veiklos pasaulyje.</w:t>
      </w:r>
    </w:p>
    <w:p w:rsidR="00C94564" w:rsidRPr="008B4485" w:rsidRDefault="00C94564" w:rsidP="00707FC4">
      <w:pPr>
        <w:numPr>
          <w:ilvl w:val="0"/>
          <w:numId w:val="5"/>
        </w:numPr>
        <w:spacing w:after="0" w:line="240" w:lineRule="auto"/>
        <w:jc w:val="both"/>
        <w:rPr>
          <w:rFonts w:ascii="Times New Roman" w:hAnsi="Times New Roman"/>
          <w:b/>
          <w:sz w:val="23"/>
          <w:szCs w:val="23"/>
        </w:rPr>
      </w:pPr>
      <w:r w:rsidRPr="008B4485">
        <w:rPr>
          <w:rFonts w:ascii="Times New Roman" w:hAnsi="Times New Roman"/>
          <w:sz w:val="23"/>
          <w:szCs w:val="23"/>
        </w:rPr>
        <w:t xml:space="preserve">Pirmasis Strategijos tikslas – pasiekti tokį pedagoginių bendruomenių lygį, kai jų kritinę masę sudaro reflektuojantys, nuolat tobulėjantys ir rezultatyviai dirbantys mokytojai ir dėstytojai.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Strategijos sėkmė priklausys nuo švietimo sistemos pajėgumo pritraukti dirbti gabiausius žmones, galinčius perteikti savo patirtį kitiems. Šiuo metu į švietimo ir ugdymo studijas prašymus pirmu teikimu teikia asmenys, vidutiniškai surinkę 13,8 stojamojo balo (Lietuvos aukštųjų mokyklų asociacijos bendrajam priėmimui organizuoti duomenys), o į populiariausias studijų kryptis – beveik 19 balų. Tai rodo, kad gabiausieji ir darbščiausieji nepritraukiami dirbti į švietimo sritį.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Švietimo ir ugdymo studijų turinys kol kas neteikia plataus humanitarinio kultūrinio akiračio, kuris reikštų būsimų mokytojų ir dėstytojų kaip asmenybės ugdytojų erudiciją, lemtų jų prestižą visuomenėje ir skatintų gabiųjų pritraukimą. Toks kultūrinis išsilavinimas – esminė sąlyga mokytojams tapti veiksmingais Lietuvos kultūros tradicijos laidininkais ir aktyvių jos kūrėjų ugdytojais. Dar neturime sutelktos mokytojų bendruomenės, dar tik pradeda formuotis mokyklų bendradarbiavimo tinklai, kuriuose būtų dalijamasi patirtimi ir bendradarbiaujama siekiant kokybės. 87,5 proc. šalies mokytojų, ugdančių pagal bendrojo ugdymo programas, sudaro moterys, tad tokia padėtis ne visada palanki visapusiškai ugdyti vaikus ir jaunimą. </w:t>
      </w:r>
    </w:p>
    <w:p w:rsidR="00C94564" w:rsidRPr="008B4485" w:rsidRDefault="00C94564" w:rsidP="00334538">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Pirmajam Strategijos tikslui pasiekti numatomos veiklos kryptys (uždaviniai):</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Motyvuoti gabius jaunus žmones rinktis karjerą formaliojo ir neformaliojo švietimo įstaigose. Užtikrinti besimokančiųjų psichologinius poreikius atitinkančią lyčių dermę tarp mokytojų, dirbančių pagal bendrojo ugdymo programas. Skatinti mokslininkus įsitraukti į bendrąjį ugdymą ir teikti naujausias žinias.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Išplėtoti aukštos kokybės, naujausias žinias integruojančias švietimo ir ugdymo krypčių studijas, kurios suteiktų absolventams platų kultūrinį akiratį ir galimybę mokyti kelis dalykus arba atlikti kelis pedagoginius vaidmenis.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Stiprinti motyvaciją suteikiant galimybių mokytojams ir dėstytojams nuolat tobulinti kvalifikaciją plečiant kultūrinį akiratį ir atrandant įvairesnį pedagoginių funkcijų spektrą. Sudaryti galimybę ilgai dirbantiems aktyviems mokytojams kelti kvalifikaciją grįžtant vienam semestrui į studijas aukštojoje mokykloje.</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Stimuliuoti nuolatinį pozityvios patirties perėmimą ir dalijimąsi tarp dėstytojų bei formaliojo ir neformaliojo švietimo mokytojų, skatinti mokytojų bei dėstytojų judumą šalyje ir tarptautiniu mastu bei kitas švietimo idėjų apytakos formas. </w:t>
      </w:r>
    </w:p>
    <w:p w:rsidR="00C94564" w:rsidRPr="008B4485" w:rsidRDefault="00C94564" w:rsidP="00530620">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Stiprinti visuomenės pasitikėjimą švietimo sistema, mokytojais ir dėstytojais bei jų pasitikėjimą savimi realių sėkmės istorijų sklaida ir akademinio sąžiningumo skatinimu.</w:t>
      </w:r>
    </w:p>
    <w:p w:rsidR="00C94564" w:rsidRPr="008B4485" w:rsidRDefault="00C94564" w:rsidP="00DA3678">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Antrasis Strategijos tikslas – įdiegti duomenų analize ir įsivertinimu grįstą švietimo kultūrą, užtikrinančią savivaldos, socialinės partnerystės ir vadovų lyderystės darną.</w:t>
      </w:r>
    </w:p>
    <w:p w:rsidR="00C94564" w:rsidRPr="008B4485" w:rsidRDefault="00C94564" w:rsidP="002B0646">
      <w:pPr>
        <w:numPr>
          <w:ilvl w:val="1"/>
          <w:numId w:val="5"/>
        </w:numPr>
        <w:spacing w:after="0" w:line="240" w:lineRule="auto"/>
        <w:ind w:left="0"/>
        <w:jc w:val="both"/>
        <w:rPr>
          <w:rFonts w:ascii="Times New Roman" w:hAnsi="Times New Roman"/>
          <w:iCs/>
          <w:sz w:val="23"/>
          <w:szCs w:val="23"/>
        </w:rPr>
      </w:pPr>
      <w:r w:rsidRPr="008B4485">
        <w:rPr>
          <w:rFonts w:ascii="Times New Roman" w:hAnsi="Times New Roman"/>
          <w:sz w:val="23"/>
          <w:szCs w:val="23"/>
        </w:rPr>
        <w:t>Švietimo vadyba turi tapti racionalesnė ir labiau bendruomeninė. Pastaruoju metu nemažai padaryta mažinant mokyklų reguliavimą teisės aktais, suteikiant mokykloms daugiau savarankiškumo (autonomijos) priimti įvairius sprendimus. Tačiau bendra teisės aktų apimtis išlieka gana didelė, bendrojo ugdymo mokyklose dėl ilgą laiką vyravusių griežtų valdymo reikalavimų ir kontrolės stokojama pasitikėjimo savimi, linkstama apsidrausti. Menkai bendradarbiaujama į mokyklų bendruomenes įtraukiant mokinius, tėvus, socialinius partnerius, nepasikliaujama iš visuomenės kylančiu užsakymu, daugiau orientuojamasi į aukštesnės vadovybės pavedimus. Tai neleidžia mokyklose sukurti solidarios bendruomeninės elgsenos įgūdžių, neformuoja priklausymo bendruomenei, tautai tapatybės, atsakomybės dėl tautos kultūros ir valstybės gyvenimo. Visa tai blokuoja kūrybiškumą įgyvendinant naujas idėjas, atsakomybės prisiėmimą, lyderystę ir dinamiškesnio savarankiško kokybės gerinimo galimybes. Mažai skiriama finansinės paramos savarankiškai tobulėti pasiryžusioms mokykloms ir savivaldybių administracijų švietimo tobulinimo projektams, neveiksmingi kiti bendruomenių ir vadovų pastangų pripažinimo bei skatinimo mechanizmai, stokojama finansavimo lankstumo. Nesukurtos mokyklų ir jų savininko teises ir pareigas įgyvendinančių institucijų, dalyvių susirinkimų (savininkų) atskaitomybės bendruomenei formos.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Per pastarąjį dešimtmetį išpuoselėta švietimo duomenų surinkimo kultūra, tačiau dėl įgūdžių stokos menkai ja naudojamasi. Mažai užsakoma tyrimų, skirtų bendrosios švietimo politikos krypties pagrindimui nustatyti, vyrauja į konkrečias siauro arealo problemas nukreipti tyrimai. Tik dalyje švietimo sričių yra patikimo rezultatų matavimo tyrimų. Tyrimų išvadomis menkai naudojamasi priimant praktinius sprendimus dėl švietimo įstaigų bei švietimo sistemos grandžių veiklos gerinimo. Visuomenė mažai įtraukiama į švietimo kaitos gairių ir konkrečių naujovių svarstymą, nėra reguliaraus dialogo tradicijos ir mechanizmų, neišplėtotos viešosios konsultacijos ir visuomeniniai susitarimai dėl permainų krypčių ir jų įgyvendinimo modelių.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Gebėjimų vertinimo sąranga neatitinka mokymosi visą gyvenimą realijų ir neskatina laipsniškai kaupti kompetencijų, nėra adekvati dalies kompetencijų savasčiai, netampa saviugdos ir savikontrolės instrumentu.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Visuomenė mažai žino naujausius ugdymo tikslus, siekiamas išugdyti kompetencijas, įteisintas oficialiuose dokumentuose, nes silpnai įtraukiama į jų formavimą. Vyrauja nuomonė, kad reikalingų kompetencijų, ypač susietų su kūrybiškumu, technologiniais praktiniais žinių pritaikymo gebėjimais, bendravimu, verslumu, organizuotumu ir t.t., neugdoma arba neišugdoma, nes nesama šių kompetencijų įvertinimo ir pripažinimo mechanizmų. </w:t>
      </w:r>
    </w:p>
    <w:p w:rsidR="00C94564" w:rsidRPr="008B4485" w:rsidRDefault="00C94564" w:rsidP="00334538">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Antrajam Strategijos tikslui pasiekti numatomos veiklos kryptys (uždaviniai):</w:t>
      </w:r>
    </w:p>
    <w:p w:rsidR="00C94564" w:rsidRPr="008B4485" w:rsidRDefault="00C94564" w:rsidP="00A373DD">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Tobulinti švietimo reguliavimą atveriant kelius institucijų organizacinei įvairovei, orientuojantis į subsidiarumo ir socialinės bendrystės principus suteikti daugiau teisių ir atsakomybės mokyklų savininko teises ir pareigas įgyvendinančioms institucijoms, dalyvių susirinkimams (savininkams) bei pačioms mokykloms. Suformuoti mokyklų savininko teises ir pareigas įgyvendinančių institucijų, dalyvių susirinkimų (savininkų) ir mokyklų atskaitomybės visuomenei ir paslaugų gavėjams mechanizmus, greta žinių (kiekybinių) išryškinančius kompetencijos (kokybinius) pasiekimus, numatyti metinės pažangos, kurios centre būtų ugdomųjų pasiekimai, skelbimą. Skatinti visuomenę reikšti nuomonę apie švietimo kokybę ir daryti jai poveikį. </w:t>
      </w:r>
    </w:p>
    <w:p w:rsidR="00C94564" w:rsidRPr="008B4485" w:rsidRDefault="00C94564" w:rsidP="00A373DD">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Mokyklų tiksluose ir švietimo sistemos struktūroje derinti vienodų galimybių visiems teikimą ir siekį skatinti asmenis bei organizacijas orientuotis į aukščiausius rezultatus. Pašalinti ribojimus švietimo turinio įvairovei, atveriant daugiau erdvės mokinių, tėvų ir socialinių partnerių iniciatyvoms. Visais švietimo lygiais įvesti kriterinį kaupiamąjį vertinimą kaip besimokančiojo pasiekimų savikontrolės būdą. </w:t>
      </w:r>
    </w:p>
    <w:p w:rsidR="00C94564" w:rsidRPr="008B4485" w:rsidRDefault="00C94564" w:rsidP="00A373DD">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Kokybės valdymo savireguliacijos diegimu ir personalo pastangomis organizacijos tikslams pasiekti stiprinti veiklos ir teikiamų paslaugų kokybę. Užtikrinti, kad institucijos naudotųsi visomis integruotų informacinių valdymo sistemų galimybėmis.</w:t>
      </w:r>
    </w:p>
    <w:p w:rsidR="00C94564" w:rsidRPr="008B4485" w:rsidRDefault="00C94564" w:rsidP="00A373DD">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Sustiprinti esamos situacijos vertinimo bei rengiamų sprendimų poveikio išankstinio vertinimo gebėjimus ir kokybę. Organizuoti tyrimais ir naujausiomis žiniomis remtus susitarimus dėl bendrųjų švietimo rezultatų kokybės turinio. </w:t>
      </w:r>
    </w:p>
    <w:p w:rsidR="00C94564" w:rsidRPr="008B4485" w:rsidRDefault="00C94564" w:rsidP="003B6CE3">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Trečiasis Strategijos tikslas – maksimaliai plėtojant vaikų ir jaunimo neformaliojo švietimo aprėptį suteikti mokiniams, studentams bei jaunimui palankiausias galimybes išskleisti individualius gebėjimus ir tenkinti specialiuosius ugdymosi poreikius.</w:t>
      </w:r>
    </w:p>
    <w:p w:rsidR="00C94564" w:rsidRPr="008B4485" w:rsidRDefault="00C94564" w:rsidP="002B0646">
      <w:pPr>
        <w:numPr>
          <w:ilvl w:val="1"/>
          <w:numId w:val="5"/>
        </w:numPr>
        <w:spacing w:after="0" w:line="240" w:lineRule="auto"/>
        <w:ind w:left="0"/>
        <w:jc w:val="both"/>
        <w:rPr>
          <w:rFonts w:ascii="Times New Roman" w:hAnsi="Times New Roman"/>
          <w:sz w:val="23"/>
          <w:szCs w:val="23"/>
          <w:lang w:eastAsia="lt-LT"/>
        </w:rPr>
      </w:pPr>
      <w:r w:rsidRPr="008B4485">
        <w:rPr>
          <w:rFonts w:ascii="Times New Roman" w:hAnsi="Times New Roman"/>
          <w:sz w:val="23"/>
          <w:szCs w:val="23"/>
        </w:rPr>
        <w:t>Anksti iš švietimo sistemos pasitraukia mažiau kaip 9 proc. Lietuvos jaunimo (esame geriausiųjų Europos Sąjungoje dešimtuke), tačiau Lietuvos masteliu mokyklos nelankančių vaikų skaičiai kelia nerimą. Dalis tėvų ir mokinių nepatenkinti mokykloje vyraujančiu ugdymo stiliumi ir geidžia turėti švietimo sistemoje daugiau alternatyvų, nukreiptų į individualių gebėjimų ugdymą bei asmenybės tobulėjimą. Tai ypač aktualu socialinės atskirties rizikos grupėms, emigrantams, specialiųjų ugdymosi poreikių turintiems vaikams, kurie sunkiai integruojasi į bendrą besimokančiųjų srautą ir lieka anapus daugelio visuomeninių procesų. Vien formaliuoju ugdymo turiniu nesuteikiama pakankamai galimybių saviraiškai realizuoti, charakteriui ir tapatybei sukurti, tautinei savimonei rastis, kultūros kūrėjo vaidmeniui įsisąmoninti, kūrybos laisvei ir kūrybiškumui skleistis. Kultūrinės saviraiškos poreikis šiuo metu sukuria didžiulį spaudimą formaliajam švietimui, kuris dažnai nepajėgus atliepti visų poreikių ir lūkesčių nesukurdamas formalaus turinio perkrovos pavojaus.</w:t>
      </w:r>
    </w:p>
    <w:p w:rsidR="00C94564" w:rsidRPr="008B4485" w:rsidRDefault="00C94564" w:rsidP="007C6890">
      <w:pPr>
        <w:numPr>
          <w:ilvl w:val="1"/>
          <w:numId w:val="5"/>
        </w:numPr>
        <w:spacing w:after="0" w:line="240" w:lineRule="auto"/>
        <w:ind w:left="0"/>
        <w:jc w:val="both"/>
        <w:rPr>
          <w:rFonts w:ascii="Times New Roman" w:hAnsi="Times New Roman"/>
          <w:sz w:val="23"/>
          <w:szCs w:val="23"/>
          <w:lang w:eastAsia="lt-LT"/>
        </w:rPr>
      </w:pPr>
      <w:r w:rsidRPr="008B4485">
        <w:rPr>
          <w:rFonts w:ascii="Times New Roman" w:hAnsi="Times New Roman"/>
          <w:sz w:val="23"/>
          <w:szCs w:val="23"/>
        </w:rPr>
        <w:t>Net gabūs vaikai kartais neranda priimtinos mokymosi formos. Tai aktualizuoja įtraukties į švietimą ir alternatyvių mokymosi galimybių, ypač socializacijos, asmenybinio, kultūrinio ugdymo tikslais, uždavinius. Į neformalųjį švietimą menkai įtraukiami arba neįsitraukia muziejai, bibliotekos, kitos kultūros ir meno įstaigos bei kiti potencialūs neformaliojo švietimo teikėjai, pernelyg menkas dėmesys kreipiamas į esamų ir potencialių neformaliojo švietimo teikėjų pedagoginę kvalifikaciją. Vaikai turi per mažai galimybių naudotis instituciniu ikimokykliniu ugdymu. Neišplėtotos neformalaus akademinio bendravimo bei lavinimosi formos ir infrastruktūra (studijų miesteliai).</w:t>
      </w:r>
    </w:p>
    <w:p w:rsidR="00C94564" w:rsidRPr="008B4485" w:rsidRDefault="00C94564" w:rsidP="007C6890">
      <w:pPr>
        <w:numPr>
          <w:ilvl w:val="0"/>
          <w:numId w:val="5"/>
        </w:numPr>
        <w:spacing w:after="0" w:line="240" w:lineRule="auto"/>
        <w:jc w:val="both"/>
        <w:rPr>
          <w:rFonts w:ascii="Times New Roman" w:hAnsi="Times New Roman"/>
          <w:sz w:val="23"/>
          <w:szCs w:val="23"/>
          <w:lang w:eastAsia="lt-LT"/>
        </w:rPr>
      </w:pPr>
      <w:r w:rsidRPr="008B4485">
        <w:rPr>
          <w:rFonts w:ascii="Times New Roman" w:hAnsi="Times New Roman"/>
          <w:sz w:val="23"/>
          <w:szCs w:val="23"/>
          <w:lang w:eastAsia="lt-LT"/>
        </w:rPr>
        <w:t xml:space="preserve">Trečiajam </w:t>
      </w:r>
      <w:r w:rsidRPr="008B4485">
        <w:rPr>
          <w:rFonts w:ascii="Times New Roman" w:hAnsi="Times New Roman"/>
          <w:sz w:val="23"/>
          <w:szCs w:val="23"/>
        </w:rPr>
        <w:t>Strategij</w:t>
      </w:r>
      <w:r w:rsidRPr="008B4485">
        <w:rPr>
          <w:rFonts w:ascii="Times New Roman" w:hAnsi="Times New Roman"/>
          <w:sz w:val="23"/>
          <w:szCs w:val="23"/>
          <w:lang w:eastAsia="lt-LT"/>
        </w:rPr>
        <w:t xml:space="preserve">os tikslui pasiekti </w:t>
      </w:r>
      <w:r w:rsidRPr="008B4485">
        <w:rPr>
          <w:rFonts w:ascii="Times New Roman" w:hAnsi="Times New Roman"/>
          <w:sz w:val="23"/>
          <w:szCs w:val="23"/>
        </w:rPr>
        <w:t>numatomos veiklos kryptys (uždaviniai)</w:t>
      </w:r>
      <w:r w:rsidRPr="008B4485">
        <w:rPr>
          <w:rFonts w:ascii="Times New Roman" w:hAnsi="Times New Roman"/>
          <w:sz w:val="23"/>
          <w:szCs w:val="23"/>
          <w:lang w:eastAsia="lt-LT"/>
        </w:rPr>
        <w:t>:</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Plėsti vaikų ir tėvų pasirinkimo galimybes bei didinti prieinamumą per neformaliojo švietimo finansavimo modelį „pinigai paskui vaiką“.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Turtinti neformaliojo švietimo mokymosi aplinką, plėsti neformaliojo švietimo paslaugų spektrą bei įvairovę, įskaitant kultūrinę saviraišką ir kūrybingumą, paramą savanorystės iniciatyvoms, organizuojant reguliarų dialogą dėl plėtros prioritetų.</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Užtikrinti naudojimosi neformaliuoju švietimu pirmenybę socialinės atskirties ir rizikos bei specialiųjų ugdymosi poreikių turinčių asmenų grupėms, siekiant socialinės atskirties įveikos ir gabių asmenų ugdymo dermės.</w:t>
      </w:r>
    </w:p>
    <w:p w:rsidR="00C94564" w:rsidRPr="008B4485" w:rsidRDefault="00C94564" w:rsidP="00D072C9">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Gilinti formaliojo ir neformaliojo švietimo integralumą bei tarpusavio papildomumą.</w:t>
      </w:r>
    </w:p>
    <w:p w:rsidR="00C94564" w:rsidRPr="008B4485" w:rsidRDefault="00C94564" w:rsidP="000773FB">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Ketvirtasis Strategijos tikslas – sukurti paskatų ir sąlygų mokytis visą gyvenimą sistemą, grįstą veiksnia pagalba atpažįstant save ir renkantis kelią veiklos pasaulyje:</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Kylančios nedarbo ir emigracijos bangos meta iššūkį švietimui operatyviau reaguoti į pokyčius darbo rinkoje, padėti žmonėms greičiau susiorientuoti, atpažinti savo privalumus ir jais pasinaudoti ieškant darbo, gebėti savarankiškai valdyti karjerą, rinktis perspektyvesnes karjeros kryptis, savarankiškai kurti verslą ir savo darbo vietą. Švietimas turi atverti galimybes bei siūlyti įvairias paslaugas, padedančias žmogui tobulinti gebėjimus remiantis kvalifikacijomis bei visapusišku savęs tobulinimu, įgyjant pasitikėjimo savo jėgomis, atsakomybės už save, bendruomenę, valstybę ir aplinką. Be viso to, tikėtinas nepasitikėjimas švietimu, kuris kelia nusivylimą savimi, valstybe, menkina asmenų ryšį su ja, destruktyviai veikia asmens savimonę ir tapatybę, skatina emigruoti. Valstybė privalo suteikti žmogui kitą galimybę savoje šalyje, padėti rasti naują vietą sociume ir išmokti naujų vaidmenų, įgyti naujų kompetencijų. Švietimas turi tapti suaugusiųjų keliu į bendruomeninį, socialinį, pilietinį, ekonominį gyvenimą ir pirmąja pagalba priėjus aklavietę, kilus atskirties pavojams.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Lietuvos suaugę gyventojai (25–64 metų) pastaruoju metu vis aktyviau mokosi lavindami tiek savo profesinius, tiek asmeninius gebėjimus, bet suaugusiųjų švietimo sritis tebelieka nepakankamai išplėtota bendruoju šalies švietimo kontekstu. Nuolatinis suaugusiųjų mokymasis vis dar nėra populiarus. Stokojame įstaigų, kurias galėtume vadinti mokymosi visą gyvenimą mokykla, kurios trauktų dėmesį ir būtų žinomos kaip vieta, kur galima ateiti ir nuolat gauti švietimo pagalbą. Mokymosi visą gyvenimą institucinė sąranga labiau orientuota į formaliojo švietimo teikimą, fragmentiškas neformaliojo suaugusiųjų švietimo finansavimas, tarpinstitucinio koordinavimo stoka, lanksčių, vartotojų poreikius atitinkančių suaugusiųjų neformaliojo švietimo programų trūkumas įvairių lygių švietimo įstaigose, įvairiais būdais įgytų kompetencijų formalizavimo galimybių bei suaugusiųjų mokymosi motyvacijos stoka stabdo šalies pažangą ir gebėjimus reaguoti į sumanios visuomenės kūrimo iššūkius.</w:t>
      </w:r>
    </w:p>
    <w:p w:rsidR="00C94564" w:rsidRPr="008B4485" w:rsidRDefault="00C94564" w:rsidP="00B9335F">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Neformaliojo švietimo būdu arba darbo vietoje įgyta patirtis ir kompetencijos dažnai neturi savo formalios išraiškos, todėl nepripažįstamos darbdavių – nėra galimybių jas pademonstruoti ieškant darbo.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Suaugusiųjų mokymesi reikia pereiti prie mokymosi rezultatais grindžiamos politikos, kur pagrindinis vaidmuo tektų besimokančiajam, nepriklausomai nuo jo mokymosi konteksto ar amžiaus: darbe, namie, bendruomenėje, savarankiškai ar švietimo įstaigoje, kuri suteiktų jam naujų ekonominio konkurencingumo, socialinio saugumo ir gyvenimo kokybės galimybių. </w:t>
      </w:r>
    </w:p>
    <w:p w:rsidR="00C94564" w:rsidRPr="008B4485" w:rsidRDefault="00C94564" w:rsidP="00C947CA">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lang w:eastAsia="lt-LT"/>
        </w:rPr>
        <w:t xml:space="preserve">Ketvirtajam </w:t>
      </w:r>
      <w:r w:rsidRPr="008B4485">
        <w:rPr>
          <w:rFonts w:ascii="Times New Roman" w:hAnsi="Times New Roman"/>
          <w:sz w:val="23"/>
          <w:szCs w:val="23"/>
        </w:rPr>
        <w:t>Strategij</w:t>
      </w:r>
      <w:r w:rsidRPr="008B4485">
        <w:rPr>
          <w:rFonts w:ascii="Times New Roman" w:hAnsi="Times New Roman"/>
          <w:sz w:val="23"/>
          <w:szCs w:val="23"/>
          <w:lang w:eastAsia="lt-LT"/>
        </w:rPr>
        <w:t xml:space="preserve">os tikslui pasiekti </w:t>
      </w:r>
      <w:r w:rsidRPr="008B4485">
        <w:rPr>
          <w:rFonts w:ascii="Times New Roman" w:hAnsi="Times New Roman"/>
          <w:sz w:val="23"/>
          <w:szCs w:val="23"/>
        </w:rPr>
        <w:t>numatomos veiklos kryptys (uždaviniai)</w:t>
      </w:r>
      <w:r w:rsidRPr="008B4485">
        <w:rPr>
          <w:rFonts w:ascii="Times New Roman" w:hAnsi="Times New Roman"/>
          <w:sz w:val="23"/>
          <w:szCs w:val="23"/>
          <w:lang w:eastAsia="lt-LT"/>
        </w:rPr>
        <w:t>:</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Skatinti mokymosi visą gyvenimą paslaugų kokybę bei įvairovę pagal ūkio bei visuomenės poreikį ir veiklų tęstinumo potencialą bei kurti lanksčią prieinamumo sistemą, stiprinti kultūros įstaigų galimybes teikti švietimo paslaugas.</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Organizuoti edukacinę pilietinę veiklą, asmenybės saviugdą visoje šalyje, plėtoti įvairias jos organizacines formas, skatinti mokinius ir studentus vienijančių vietinių ir nacionalinių organizacijų stiprėjimą.</w:t>
      </w:r>
    </w:p>
    <w:p w:rsidR="00C94564" w:rsidRPr="008B4485" w:rsidRDefault="00C94564" w:rsidP="00C37D14">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 xml:space="preserve">Stiprinti motyvaciją mokytis susiejant mokymąsi visą gyvenimą su besimokančiųjų pasirinkimais, įvedant mokymosi visą gyvenimą krepšelį. Plėtoti mokymosi visą gyvenimą bei darbo patirties integralumą, ypač per praktikas, suaugusiųjų pameistrystę ir profesinį mokymą darbo vietose. Sukurti </w:t>
      </w:r>
      <w:r w:rsidRPr="008B4485">
        <w:rPr>
          <w:rFonts w:ascii="Times New Roman" w:hAnsi="Times New Roman"/>
          <w:sz w:val="23"/>
          <w:szCs w:val="23"/>
          <w:lang w:eastAsia="lt-LT"/>
        </w:rPr>
        <w:t xml:space="preserve">ir pradėti taikyti </w:t>
      </w:r>
      <w:r w:rsidRPr="008B4485">
        <w:rPr>
          <w:rFonts w:ascii="Times New Roman" w:hAnsi="Times New Roman"/>
          <w:sz w:val="23"/>
          <w:szCs w:val="23"/>
        </w:rPr>
        <w:t xml:space="preserve">įvairiais mokymosi būdais įgytų kompetencijų (kvalifikacijų) vertinimo ir pripažinimo sistemą. </w:t>
      </w:r>
    </w:p>
    <w:p w:rsidR="00C94564" w:rsidRPr="008B4485" w:rsidRDefault="00C94564" w:rsidP="002B0646">
      <w:pPr>
        <w:numPr>
          <w:ilvl w:val="1"/>
          <w:numId w:val="5"/>
        </w:numPr>
        <w:spacing w:after="0" w:line="240" w:lineRule="auto"/>
        <w:ind w:left="0"/>
        <w:jc w:val="both"/>
        <w:rPr>
          <w:rFonts w:ascii="Times New Roman" w:hAnsi="Times New Roman"/>
          <w:sz w:val="23"/>
          <w:szCs w:val="23"/>
        </w:rPr>
      </w:pPr>
      <w:r w:rsidRPr="008B4485">
        <w:rPr>
          <w:rFonts w:ascii="Times New Roman" w:hAnsi="Times New Roman"/>
          <w:sz w:val="23"/>
          <w:szCs w:val="23"/>
        </w:rPr>
        <w:t>Sudaryti sąlygas asmenims savarankiškai valdyti karjerą teikiant individualizuotas įvairių formų paslaugas realioje ir</w:t>
      </w:r>
      <w:r w:rsidRPr="008B4485">
        <w:rPr>
          <w:rFonts w:ascii="Times New Roman" w:hAnsi="Times New Roman"/>
          <w:color w:val="FF0000"/>
          <w:sz w:val="23"/>
          <w:szCs w:val="23"/>
        </w:rPr>
        <w:t xml:space="preserve"> </w:t>
      </w:r>
      <w:r w:rsidRPr="008B4485">
        <w:rPr>
          <w:rFonts w:ascii="Times New Roman" w:hAnsi="Times New Roman"/>
          <w:sz w:val="23"/>
          <w:szCs w:val="23"/>
        </w:rPr>
        <w:t>virtualioje aplinkoje, plečiant tam reikalingus gebėjimus ir galimybes, ugdant svarbias kompetencijas, formuojant gyvenimo kelio (karjeros) rinkimosi sąmoningumą bei ugdymosi tęstinumą. Inicijuoti ir remti kokybišką specialybių bei profesijų, ypač perspektyviausių, populiarinimą.</w:t>
      </w:r>
    </w:p>
    <w:p w:rsidR="00C94564" w:rsidRPr="008B4485" w:rsidRDefault="00C94564" w:rsidP="007E77EF">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Strategijos tikslų įgyvendinimas bei veiklos krypčių realizavimas vyks lygiagrečiai su švietimo turinio bei ugdymo proceso kaita. Siekiant švietimo sistemą orientuoti į kūrybiškumo, verslumo, pilietiškumo ir lyderystės ugdymą visuose švietimo lygmenyse bus sukurtos kūrybiškumui, ieškojimui ir tobulėjimui atviros mokymosi programos, švietimo sėkmė matuojama per asmenybės kaitą atsiskleidžiančius mokymosi rezultatus, kuriems matuoti bus plačiai pasitelktas įsivertinimas. </w:t>
      </w:r>
    </w:p>
    <w:p w:rsidR="00C94564" w:rsidRPr="008B4485" w:rsidRDefault="00C94564" w:rsidP="007E77EF">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Lituanistinį švietimą numatoma įtvirtinti kaip humanistinio ugdymo – bendrųjų kultūrinių kompetencijų lavinimo, kūrybingo asmens bei visuomenės ugdymo – pagrindą. Numatoma užtikrinti humanitarinio išsilavinimo pagrindus visose Lietuvos aukštosiose mokyklose. </w:t>
      </w:r>
    </w:p>
    <w:p w:rsidR="00C94564" w:rsidRPr="008B4485" w:rsidRDefault="00C94564" w:rsidP="00EE796C">
      <w:pPr>
        <w:spacing w:after="0" w:line="240" w:lineRule="auto"/>
        <w:jc w:val="both"/>
        <w:rPr>
          <w:rFonts w:ascii="Times New Roman" w:hAnsi="Times New Roman"/>
          <w:sz w:val="23"/>
          <w:szCs w:val="23"/>
        </w:rPr>
      </w:pPr>
    </w:p>
    <w:p w:rsidR="00C94564" w:rsidRPr="008B4485" w:rsidRDefault="00C94564" w:rsidP="00EE796C">
      <w:pPr>
        <w:spacing w:after="0" w:line="240" w:lineRule="auto"/>
        <w:jc w:val="both"/>
        <w:rPr>
          <w:rFonts w:ascii="Times New Roman" w:hAnsi="Times New Roman"/>
          <w:sz w:val="23"/>
          <w:szCs w:val="23"/>
        </w:rPr>
      </w:pPr>
    </w:p>
    <w:p w:rsidR="00C94564" w:rsidRPr="008B4485" w:rsidRDefault="00C94564" w:rsidP="00D862F7">
      <w:pPr>
        <w:numPr>
          <w:ilvl w:val="0"/>
          <w:numId w:val="1"/>
        </w:numPr>
        <w:spacing w:line="240" w:lineRule="auto"/>
        <w:ind w:left="0" w:firstLine="0"/>
        <w:contextualSpacing/>
        <w:jc w:val="center"/>
        <w:rPr>
          <w:rFonts w:ascii="Times New Roman" w:hAnsi="Times New Roman"/>
          <w:b/>
          <w:bCs/>
          <w:sz w:val="23"/>
          <w:szCs w:val="23"/>
        </w:rPr>
      </w:pPr>
      <w:r w:rsidRPr="008B4485">
        <w:rPr>
          <w:rFonts w:ascii="Times New Roman" w:hAnsi="Times New Roman"/>
          <w:b/>
          <w:sz w:val="23"/>
          <w:szCs w:val="23"/>
        </w:rPr>
        <w:t>STRATEGIJOS ĮGYVENDINIMAS</w:t>
      </w:r>
      <w:r w:rsidRPr="008B4485">
        <w:rPr>
          <w:rFonts w:ascii="Times New Roman" w:hAnsi="Times New Roman"/>
          <w:b/>
          <w:bCs/>
          <w:sz w:val="23"/>
          <w:szCs w:val="23"/>
        </w:rPr>
        <w:t xml:space="preserve"> IR ATSAKOMYBĖ</w:t>
      </w:r>
    </w:p>
    <w:p w:rsidR="00C94564" w:rsidRPr="008B4485" w:rsidRDefault="00C94564" w:rsidP="00D1276D">
      <w:pPr>
        <w:spacing w:after="0" w:line="240" w:lineRule="auto"/>
        <w:ind w:left="567"/>
        <w:jc w:val="both"/>
        <w:rPr>
          <w:rFonts w:ascii="Times New Roman" w:hAnsi="Times New Roman"/>
          <w:sz w:val="23"/>
          <w:szCs w:val="23"/>
        </w:rPr>
      </w:pPr>
    </w:p>
    <w:p w:rsidR="00C94564" w:rsidRPr="008B4485" w:rsidRDefault="00C94564" w:rsidP="00F763EB">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 xml:space="preserve">Strategija, būdama ilgos trukmės planavimo dokumentas, numato švietimo tobulinimo ateities prioritetines kryptis. Švietimo tobulinimas apima horizontalius procesus, pasireiškiančius keliose valstybės valdymo srityse. Strategiją įgyvendinant, dalyvaus Švietimo ir mokslo ministerija, kitos valstybės institucijos, savivaldybės ir jų administracijos. Strategijos tikslai ir uždaviniai bus įgyvendinami per Nacionalinę pažangos programą ir kitus vidutinės trukmės dokumentus. Konkrečias priemones Strategijos tikslams ir uždaviniams pasiekti kiekviena įgyvendinanti institucija nusimatys savo strateginės veiklos planuose. Strategijos įgyvendinimą koordinuos Švietimo ir mokslo ministerija. </w:t>
      </w:r>
    </w:p>
    <w:p w:rsidR="00C94564" w:rsidRPr="008B4485" w:rsidRDefault="00C94564" w:rsidP="00086033">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Strategijos įgyvendinimo priežiūrą atliks Lietuvos Respublikos Seimas (2017 m. numatomas Strategijos pusiaukelės įvertinimas), Lietuvos švietimo taryba (kasmetė analizė) ir švietimo ir mokslo ministro sudarytas Strategijos įgyvendinimo stebėsenos komitetas (nuolatinė stebėsena).</w:t>
      </w:r>
    </w:p>
    <w:p w:rsidR="00C94564" w:rsidRPr="008B4485" w:rsidRDefault="00C94564" w:rsidP="007E77EF">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Švietimo ir mokslo ministerija, bendradarbiaudama su švietimo bendruomenės socialiniais partneriais, sukvies atvirą strategijos įgyvendinimo forumą, kuriame bus nuolat diskutuojama dėl ugdymo turinio tobulinimo, siūlomi turinio kaitos būdai bei kryptys, būdai, kaip geriau galėtų bendradarbiauti mokytojai ir mokslininkai, dėstytojai ir darbdaviai, kitos visuomenės grupės, identifikuodamos artimiausius švietimo permainų prioritetus bei tobulindamos švietimo turinį.</w:t>
      </w:r>
    </w:p>
    <w:p w:rsidR="00C94564" w:rsidRPr="008B4485" w:rsidRDefault="00C94564" w:rsidP="00523F6D">
      <w:pPr>
        <w:numPr>
          <w:ilvl w:val="0"/>
          <w:numId w:val="5"/>
        </w:numPr>
        <w:spacing w:after="0" w:line="240" w:lineRule="auto"/>
        <w:jc w:val="both"/>
        <w:rPr>
          <w:rFonts w:ascii="Times New Roman" w:hAnsi="Times New Roman"/>
          <w:sz w:val="23"/>
          <w:szCs w:val="23"/>
        </w:rPr>
      </w:pPr>
      <w:r w:rsidRPr="008B4485">
        <w:rPr>
          <w:rFonts w:ascii="Times New Roman" w:hAnsi="Times New Roman"/>
          <w:sz w:val="23"/>
          <w:szCs w:val="23"/>
        </w:rPr>
        <w:t>Strategijai įgyvendinti nukreipiami Švietimo ir mokslo ministerijai skiriami valstybės biudžeto asignavimai (įskaitant Europos Sąjungos paramą, išskyrus asignavimus moksliniams tyrimams ir eksperimentinei plėtrai), panaudojami kitų asignavimų valdytojų ištekliai, pritraukiamos kitų fizinių ir juridinių asmenų lėšos.</w:t>
      </w:r>
    </w:p>
    <w:p w:rsidR="00C94564" w:rsidRPr="008B4485" w:rsidRDefault="00C94564" w:rsidP="007D620A">
      <w:pPr>
        <w:numPr>
          <w:ilvl w:val="0"/>
          <w:numId w:val="5"/>
        </w:numPr>
        <w:spacing w:after="0" w:line="240" w:lineRule="auto"/>
        <w:jc w:val="both"/>
        <w:rPr>
          <w:rFonts w:ascii="Times New Roman" w:hAnsi="Times New Roman"/>
          <w:b/>
          <w:noProof/>
          <w:sz w:val="23"/>
          <w:szCs w:val="23"/>
        </w:rPr>
      </w:pPr>
      <w:r w:rsidRPr="008B4485">
        <w:rPr>
          <w:rFonts w:ascii="Times New Roman" w:hAnsi="Times New Roman"/>
          <w:sz w:val="23"/>
          <w:szCs w:val="23"/>
        </w:rPr>
        <w:t xml:space="preserve">Strategija siekiama solidarios, veiklios ir besimokančios visuomenės, todėl visi suinteresuoti fiziniai ir juridiniai asmenys, visuomenės grupės ir jėgos matomos kaip Strategijos įgyvendintojai, o jų bendradarbiavimą koordinuoja Švietimo ir mokslo ministerija. </w:t>
      </w:r>
    </w:p>
    <w:p w:rsidR="00C94564" w:rsidRDefault="00C94564" w:rsidP="0077085E">
      <w:pPr>
        <w:tabs>
          <w:tab w:val="left" w:pos="2780"/>
        </w:tabs>
        <w:rPr>
          <w:rFonts w:ascii="Times New Roman" w:hAnsi="Times New Roman"/>
          <w:sz w:val="24"/>
          <w:szCs w:val="24"/>
        </w:rPr>
      </w:pPr>
    </w:p>
    <w:p w:rsidR="00C94564" w:rsidRPr="0077085E" w:rsidRDefault="00C94564" w:rsidP="00D92A34">
      <w:pPr>
        <w:tabs>
          <w:tab w:val="left" w:pos="2780"/>
        </w:tabs>
        <w:jc w:val="center"/>
        <w:rPr>
          <w:rFonts w:ascii="Times New Roman" w:hAnsi="Times New Roman"/>
          <w:sz w:val="24"/>
          <w:szCs w:val="24"/>
        </w:rPr>
        <w:sectPr w:rsidR="00C94564" w:rsidRPr="0077085E" w:rsidSect="009E6836">
          <w:headerReference w:type="even" r:id="rId23"/>
          <w:headerReference w:type="default" r:id="rId24"/>
          <w:footerReference w:type="even" r:id="rId25"/>
          <w:footerReference w:type="default" r:id="rId26"/>
          <w:headerReference w:type="first" r:id="rId27"/>
          <w:pgSz w:w="11906" w:h="16838"/>
          <w:pgMar w:top="1134" w:right="567" w:bottom="567" w:left="1701" w:header="567" w:footer="567" w:gutter="0"/>
          <w:pgNumType w:start="1"/>
          <w:cols w:space="1296"/>
          <w:titlePg/>
          <w:docGrid w:linePitch="360"/>
        </w:sectPr>
      </w:pPr>
      <w:r>
        <w:rPr>
          <w:rFonts w:ascii="Times New Roman" w:hAnsi="Times New Roman"/>
          <w:sz w:val="24"/>
          <w:szCs w:val="24"/>
        </w:rPr>
        <w:t>____________________</w:t>
      </w:r>
    </w:p>
    <w:p w:rsidR="00C94564" w:rsidRDefault="00C94564" w:rsidP="00700A7F">
      <w:pPr>
        <w:pStyle w:val="Betarp1"/>
        <w:ind w:left="9072"/>
        <w:rPr>
          <w:rFonts w:ascii="Times New Roman" w:hAnsi="Times New Roman"/>
          <w:sz w:val="24"/>
          <w:szCs w:val="24"/>
        </w:rPr>
      </w:pPr>
      <w:r>
        <w:rPr>
          <w:rFonts w:ascii="Times New Roman" w:hAnsi="Times New Roman"/>
          <w:sz w:val="24"/>
          <w:szCs w:val="24"/>
        </w:rPr>
        <w:t xml:space="preserve">                 </w:t>
      </w:r>
      <w:r w:rsidRPr="0036271A">
        <w:rPr>
          <w:rFonts w:ascii="Times New Roman" w:hAnsi="Times New Roman"/>
          <w:sz w:val="24"/>
          <w:szCs w:val="24"/>
        </w:rPr>
        <w:t>V</w:t>
      </w:r>
      <w:r>
        <w:rPr>
          <w:rFonts w:ascii="Times New Roman" w:hAnsi="Times New Roman"/>
          <w:sz w:val="24"/>
          <w:szCs w:val="24"/>
        </w:rPr>
        <w:t xml:space="preserve">alstybinės švietimo </w:t>
      </w:r>
      <w:r w:rsidRPr="0036271A">
        <w:rPr>
          <w:rFonts w:ascii="Times New Roman" w:hAnsi="Times New Roman"/>
          <w:sz w:val="24"/>
          <w:szCs w:val="24"/>
        </w:rPr>
        <w:t>201</w:t>
      </w:r>
      <w:r>
        <w:rPr>
          <w:rFonts w:ascii="Times New Roman" w:hAnsi="Times New Roman"/>
          <w:sz w:val="24"/>
          <w:szCs w:val="24"/>
        </w:rPr>
        <w:t>3</w:t>
      </w:r>
      <w:r w:rsidRPr="0036271A">
        <w:rPr>
          <w:rFonts w:ascii="Times New Roman" w:hAnsi="Times New Roman"/>
          <w:sz w:val="24"/>
          <w:szCs w:val="24"/>
        </w:rPr>
        <w:t>–202</w:t>
      </w:r>
      <w:r>
        <w:rPr>
          <w:rFonts w:ascii="Times New Roman" w:hAnsi="Times New Roman"/>
          <w:sz w:val="24"/>
          <w:szCs w:val="24"/>
        </w:rPr>
        <w:t>2</w:t>
      </w:r>
      <w:r w:rsidRPr="0036271A">
        <w:rPr>
          <w:rFonts w:ascii="Times New Roman" w:hAnsi="Times New Roman"/>
          <w:sz w:val="24"/>
          <w:szCs w:val="24"/>
        </w:rPr>
        <w:t xml:space="preserve"> m</w:t>
      </w:r>
      <w:r>
        <w:rPr>
          <w:rFonts w:ascii="Times New Roman" w:hAnsi="Times New Roman"/>
          <w:sz w:val="24"/>
          <w:szCs w:val="24"/>
        </w:rPr>
        <w:t>etų strategijos</w:t>
      </w:r>
    </w:p>
    <w:p w:rsidR="00C94564" w:rsidRDefault="00C94564" w:rsidP="00700A7F">
      <w:pPr>
        <w:pStyle w:val="Betarp1"/>
        <w:ind w:left="9072"/>
        <w:rPr>
          <w:rFonts w:ascii="Times New Roman" w:hAnsi="Times New Roman"/>
          <w:sz w:val="24"/>
          <w:szCs w:val="24"/>
        </w:rPr>
      </w:pPr>
      <w:r>
        <w:rPr>
          <w:rFonts w:ascii="Times New Roman" w:hAnsi="Times New Roman"/>
          <w:sz w:val="24"/>
          <w:szCs w:val="24"/>
        </w:rPr>
        <w:t xml:space="preserve">                 p</w:t>
      </w:r>
      <w:r w:rsidRPr="0036271A">
        <w:rPr>
          <w:rFonts w:ascii="Times New Roman" w:hAnsi="Times New Roman"/>
          <w:sz w:val="24"/>
          <w:szCs w:val="24"/>
        </w:rPr>
        <w:t>riedas</w:t>
      </w:r>
    </w:p>
    <w:p w:rsidR="00C94564" w:rsidRPr="0036271A" w:rsidRDefault="00C94564" w:rsidP="00BF6CCC">
      <w:pPr>
        <w:pStyle w:val="Betarp1"/>
        <w:ind w:left="11660"/>
        <w:rPr>
          <w:rFonts w:ascii="Times New Roman" w:hAnsi="Times New Roman"/>
          <w:sz w:val="24"/>
          <w:szCs w:val="24"/>
        </w:rPr>
      </w:pPr>
    </w:p>
    <w:p w:rsidR="00C94564" w:rsidRDefault="00C94564" w:rsidP="0056336F">
      <w:pPr>
        <w:pStyle w:val="Betarp1"/>
        <w:jc w:val="center"/>
        <w:rPr>
          <w:rFonts w:ascii="Times New Roman" w:hAnsi="Times New Roman"/>
          <w:b/>
          <w:sz w:val="24"/>
          <w:szCs w:val="24"/>
        </w:rPr>
      </w:pPr>
      <w:r w:rsidRPr="00E91A7B">
        <w:rPr>
          <w:rFonts w:ascii="Times New Roman" w:hAnsi="Times New Roman"/>
          <w:b/>
          <w:sz w:val="24"/>
          <w:szCs w:val="24"/>
        </w:rPr>
        <w:t xml:space="preserve">STRATEGIJOS ĮGYVENDINIMO VERTINIMO </w:t>
      </w:r>
      <w:r>
        <w:rPr>
          <w:rFonts w:ascii="Times New Roman" w:hAnsi="Times New Roman"/>
          <w:b/>
          <w:sz w:val="24"/>
          <w:szCs w:val="24"/>
        </w:rPr>
        <w:t xml:space="preserve">RODIKLIAI IR </w:t>
      </w:r>
      <w:r w:rsidRPr="00E91A7B">
        <w:rPr>
          <w:rFonts w:ascii="Times New Roman" w:hAnsi="Times New Roman"/>
          <w:b/>
          <w:sz w:val="24"/>
          <w:szCs w:val="24"/>
        </w:rPr>
        <w:t>S</w:t>
      </w:r>
      <w:r>
        <w:rPr>
          <w:rFonts w:ascii="Times New Roman" w:hAnsi="Times New Roman"/>
          <w:b/>
          <w:sz w:val="24"/>
          <w:szCs w:val="24"/>
        </w:rPr>
        <w:t>IEKINIAI</w:t>
      </w:r>
    </w:p>
    <w:p w:rsidR="00C94564" w:rsidRPr="009E6836" w:rsidRDefault="00C94564" w:rsidP="0056336F">
      <w:pPr>
        <w:pStyle w:val="Betarp1"/>
        <w:jc w:val="center"/>
        <w:rPr>
          <w:rFonts w:ascii="Times New Roman" w:hAnsi="Times New Roman"/>
          <w:b/>
        </w:rPr>
      </w:pPr>
    </w:p>
    <w:tbl>
      <w:tblPr>
        <w:tblW w:w="15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5"/>
        <w:gridCol w:w="3360"/>
        <w:gridCol w:w="7370"/>
        <w:gridCol w:w="1210"/>
        <w:gridCol w:w="1210"/>
        <w:gridCol w:w="1281"/>
      </w:tblGrid>
      <w:tr w:rsidR="00C94564" w:rsidRPr="009642ED">
        <w:trPr>
          <w:cantSplit/>
          <w:tblHeader/>
        </w:trPr>
        <w:tc>
          <w:tcPr>
            <w:tcW w:w="715" w:type="dxa"/>
            <w:tcMar>
              <w:left w:w="0" w:type="dxa"/>
              <w:right w:w="0" w:type="dxa"/>
            </w:tcMar>
            <w:vAlign w:val="center"/>
          </w:tcPr>
          <w:p w:rsidR="00C94564" w:rsidRPr="009642ED" w:rsidRDefault="00C94564" w:rsidP="0056336F">
            <w:pPr>
              <w:spacing w:after="0" w:line="240" w:lineRule="auto"/>
              <w:jc w:val="center"/>
              <w:rPr>
                <w:rFonts w:ascii="Times New Roman" w:hAnsi="Times New Roman"/>
                <w:b/>
                <w:sz w:val="23"/>
                <w:szCs w:val="23"/>
              </w:rPr>
            </w:pPr>
            <w:r w:rsidRPr="009642ED">
              <w:rPr>
                <w:rFonts w:ascii="Times New Roman" w:hAnsi="Times New Roman"/>
                <w:b/>
                <w:sz w:val="23"/>
                <w:szCs w:val="23"/>
              </w:rPr>
              <w:t>Eil. Nr.</w:t>
            </w:r>
          </w:p>
        </w:tc>
        <w:tc>
          <w:tcPr>
            <w:tcW w:w="3360" w:type="dxa"/>
            <w:vAlign w:val="center"/>
          </w:tcPr>
          <w:p w:rsidR="00C94564" w:rsidRPr="009642ED" w:rsidRDefault="00C94564" w:rsidP="0056336F">
            <w:pPr>
              <w:spacing w:after="0" w:line="240" w:lineRule="auto"/>
              <w:jc w:val="center"/>
              <w:rPr>
                <w:rFonts w:ascii="Times New Roman" w:hAnsi="Times New Roman"/>
                <w:b/>
                <w:iCs/>
                <w:sz w:val="23"/>
                <w:szCs w:val="23"/>
              </w:rPr>
            </w:pPr>
            <w:r w:rsidRPr="009642ED">
              <w:rPr>
                <w:rFonts w:ascii="Times New Roman" w:hAnsi="Times New Roman"/>
                <w:b/>
                <w:iCs/>
                <w:sz w:val="23"/>
                <w:szCs w:val="23"/>
              </w:rPr>
              <w:t>Tikslai</w:t>
            </w:r>
          </w:p>
        </w:tc>
        <w:tc>
          <w:tcPr>
            <w:tcW w:w="7370" w:type="dxa"/>
            <w:vAlign w:val="center"/>
          </w:tcPr>
          <w:p w:rsidR="00C94564" w:rsidRPr="009642ED" w:rsidRDefault="00C94564" w:rsidP="0056336F">
            <w:pPr>
              <w:spacing w:after="0" w:line="240" w:lineRule="auto"/>
              <w:ind w:right="-85"/>
              <w:jc w:val="center"/>
              <w:rPr>
                <w:rFonts w:ascii="Times New Roman" w:hAnsi="Times New Roman"/>
                <w:b/>
                <w:sz w:val="23"/>
                <w:szCs w:val="23"/>
              </w:rPr>
            </w:pPr>
            <w:r w:rsidRPr="009642ED">
              <w:rPr>
                <w:rFonts w:ascii="Times New Roman" w:hAnsi="Times New Roman"/>
                <w:b/>
                <w:sz w:val="23"/>
                <w:szCs w:val="23"/>
              </w:rPr>
              <w:t xml:space="preserve">Vertinimo rodiklis, matavimo vienetas (duomenų šaltinis) </w:t>
            </w:r>
          </w:p>
        </w:tc>
        <w:tc>
          <w:tcPr>
            <w:tcW w:w="1210" w:type="dxa"/>
            <w:vAlign w:val="center"/>
          </w:tcPr>
          <w:p w:rsidR="00C94564" w:rsidRPr="009642ED" w:rsidRDefault="00C94564" w:rsidP="0056336F">
            <w:pPr>
              <w:pStyle w:val="Betarp1"/>
              <w:jc w:val="center"/>
              <w:rPr>
                <w:rFonts w:ascii="Times New Roman" w:hAnsi="Times New Roman"/>
                <w:b/>
                <w:sz w:val="23"/>
                <w:szCs w:val="23"/>
              </w:rPr>
            </w:pPr>
            <w:r w:rsidRPr="009642ED">
              <w:rPr>
                <w:rFonts w:ascii="Times New Roman" w:hAnsi="Times New Roman"/>
                <w:b/>
                <w:sz w:val="23"/>
                <w:szCs w:val="23"/>
              </w:rPr>
              <w:t>Būklė (metai)</w:t>
            </w:r>
          </w:p>
        </w:tc>
        <w:tc>
          <w:tcPr>
            <w:tcW w:w="1210" w:type="dxa"/>
            <w:vAlign w:val="center"/>
          </w:tcPr>
          <w:p w:rsidR="00C94564" w:rsidRPr="009642ED" w:rsidRDefault="00C94564" w:rsidP="0056336F">
            <w:pPr>
              <w:pStyle w:val="Betarp1"/>
              <w:jc w:val="center"/>
              <w:rPr>
                <w:rFonts w:ascii="Times New Roman" w:hAnsi="Times New Roman"/>
                <w:b/>
                <w:sz w:val="23"/>
                <w:szCs w:val="23"/>
              </w:rPr>
            </w:pPr>
            <w:r w:rsidRPr="009642ED">
              <w:rPr>
                <w:rFonts w:ascii="Times New Roman" w:hAnsi="Times New Roman"/>
                <w:b/>
                <w:sz w:val="23"/>
                <w:szCs w:val="23"/>
              </w:rPr>
              <w:t>Siekinys 2017 m.</w:t>
            </w:r>
          </w:p>
        </w:tc>
        <w:tc>
          <w:tcPr>
            <w:tcW w:w="1281" w:type="dxa"/>
            <w:vAlign w:val="center"/>
          </w:tcPr>
          <w:p w:rsidR="00C94564" w:rsidRPr="009642ED" w:rsidRDefault="00C94564" w:rsidP="0056336F">
            <w:pPr>
              <w:pStyle w:val="Betarp1"/>
              <w:jc w:val="center"/>
              <w:rPr>
                <w:rFonts w:ascii="Times New Roman" w:hAnsi="Times New Roman"/>
                <w:b/>
                <w:sz w:val="23"/>
                <w:szCs w:val="23"/>
              </w:rPr>
            </w:pPr>
            <w:r w:rsidRPr="009642ED">
              <w:rPr>
                <w:rFonts w:ascii="Times New Roman" w:hAnsi="Times New Roman"/>
                <w:b/>
                <w:sz w:val="23"/>
                <w:szCs w:val="23"/>
              </w:rPr>
              <w:t>Siekinys 2022 m.</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w:t>
            </w:r>
          </w:p>
          <w:p w:rsidR="00C94564" w:rsidRPr="009642ED" w:rsidRDefault="00C94564" w:rsidP="001D54F7">
            <w:pPr>
              <w:spacing w:after="0" w:line="240" w:lineRule="auto"/>
              <w:rPr>
                <w:rFonts w:ascii="Times New Roman" w:hAnsi="Times New Roman"/>
                <w:sz w:val="23"/>
                <w:szCs w:val="23"/>
              </w:rPr>
            </w:pPr>
          </w:p>
        </w:tc>
        <w:tc>
          <w:tcPr>
            <w:tcW w:w="3360" w:type="dxa"/>
            <w:vMerge w:val="restart"/>
          </w:tcPr>
          <w:p w:rsidR="00C94564" w:rsidRPr="009642ED" w:rsidRDefault="00C94564" w:rsidP="00631E54">
            <w:pPr>
              <w:spacing w:after="0" w:line="240" w:lineRule="auto"/>
              <w:rPr>
                <w:rFonts w:ascii="Times New Roman" w:hAnsi="Times New Roman"/>
                <w:b/>
                <w:iCs/>
                <w:sz w:val="23"/>
                <w:szCs w:val="23"/>
              </w:rPr>
            </w:pPr>
            <w:r w:rsidRPr="009642ED">
              <w:rPr>
                <w:rFonts w:ascii="Times New Roman" w:hAnsi="Times New Roman"/>
                <w:b/>
                <w:iCs/>
                <w:sz w:val="23"/>
                <w:szCs w:val="23"/>
              </w:rPr>
              <w:t>PAGRINDINIS STRATEGI</w:t>
            </w:r>
            <w:r w:rsidRPr="006D2E61">
              <w:rPr>
                <w:rFonts w:ascii="Times New Roman" w:hAnsi="Times New Roman"/>
                <w:b/>
                <w:iCs/>
                <w:sz w:val="23"/>
                <w:szCs w:val="23"/>
              </w:rPr>
              <w:t>NIS</w:t>
            </w:r>
            <w:r w:rsidRPr="009642ED">
              <w:rPr>
                <w:rFonts w:ascii="Times New Roman" w:hAnsi="Times New Roman"/>
                <w:b/>
                <w:iCs/>
                <w:sz w:val="23"/>
                <w:szCs w:val="23"/>
              </w:rPr>
              <w:t xml:space="preserve"> TIKSLAS: </w:t>
            </w:r>
            <w:r w:rsidRPr="009642ED">
              <w:rPr>
                <w:rFonts w:ascii="Times New Roman" w:hAnsi="Times New Roman"/>
                <w:b/>
                <w:sz w:val="23"/>
                <w:szCs w:val="23"/>
              </w:rPr>
              <w:t>paversti Lietuvos švietimą tvariu pagrindu veržliam ir savarankiškam žmogui, atsakingai ir solidariai kuriančiam savo, valstybės ir pasaulio ateitį</w:t>
            </w:r>
          </w:p>
        </w:tc>
        <w:tc>
          <w:tcPr>
            <w:tcW w:w="737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Save įdarbinančių 25–64 metų asmenų dalis, proc. (Europos Sąjungos statistikos tarnyba „Eurostat“)</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6,5 (2010)</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8,5</w:t>
            </w:r>
          </w:p>
        </w:tc>
        <w:tc>
          <w:tcPr>
            <w:tcW w:w="1281" w:type="dxa"/>
          </w:tcPr>
          <w:p w:rsidR="00C94564" w:rsidRPr="009642ED" w:rsidRDefault="00C94564" w:rsidP="00BF460A">
            <w:pPr>
              <w:spacing w:after="0" w:line="240" w:lineRule="auto"/>
              <w:ind w:left="-108" w:right="-147"/>
              <w:jc w:val="center"/>
              <w:rPr>
                <w:rFonts w:ascii="Times New Roman" w:hAnsi="Times New Roman"/>
                <w:sz w:val="23"/>
                <w:szCs w:val="23"/>
              </w:rPr>
            </w:pPr>
            <w:r w:rsidRPr="009642ED">
              <w:rPr>
                <w:rFonts w:ascii="Times New Roman" w:hAnsi="Times New Roman"/>
                <w:sz w:val="23"/>
                <w:szCs w:val="23"/>
              </w:rPr>
              <w:t>11</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6D2E61" w:rsidRDefault="00C94564" w:rsidP="0056336F">
            <w:pPr>
              <w:spacing w:after="0" w:line="240" w:lineRule="auto"/>
              <w:rPr>
                <w:rFonts w:ascii="Times New Roman" w:hAnsi="Times New Roman"/>
                <w:sz w:val="23"/>
                <w:szCs w:val="23"/>
                <w:vertAlign w:val="superscript"/>
              </w:rPr>
            </w:pPr>
            <w:r w:rsidRPr="009642ED">
              <w:rPr>
                <w:rFonts w:ascii="Times New Roman" w:hAnsi="Times New Roman"/>
                <w:sz w:val="23"/>
                <w:szCs w:val="23"/>
              </w:rPr>
              <w:t>Mokinių, atitinkančių bent 3 (iš 6) Tarptautinio penkiolikmečių mokymosi pasiekimų tyrimo PISA lygį, dalis, proc. (OECD)</w:t>
            </w:r>
            <w:r>
              <w:rPr>
                <w:rFonts w:ascii="Times New Roman" w:hAnsi="Times New Roman"/>
                <w:sz w:val="23"/>
                <w:szCs w:val="23"/>
                <w:vertAlign w:val="superscript"/>
              </w:rPr>
              <w:t>1</w:t>
            </w:r>
          </w:p>
          <w:p w:rsidR="00C94564" w:rsidRPr="009642ED" w:rsidRDefault="00C94564" w:rsidP="00BB1C02">
            <w:pPr>
              <w:spacing w:after="0" w:line="240" w:lineRule="auto"/>
              <w:jc w:val="right"/>
              <w:rPr>
                <w:rFonts w:ascii="Times New Roman" w:hAnsi="Times New Roman"/>
                <w:sz w:val="23"/>
                <w:szCs w:val="23"/>
              </w:rPr>
            </w:pPr>
            <w:r>
              <w:rPr>
                <w:rFonts w:ascii="Times New Roman" w:hAnsi="Times New Roman"/>
                <w:sz w:val="23"/>
                <w:szCs w:val="23"/>
              </w:rPr>
              <w:t>skaitymo raštingumas</w:t>
            </w:r>
            <w:r w:rsidRPr="009642ED">
              <w:rPr>
                <w:rFonts w:ascii="Times New Roman" w:hAnsi="Times New Roman"/>
                <w:sz w:val="23"/>
                <w:szCs w:val="23"/>
              </w:rPr>
              <w:t xml:space="preserve"> </w:t>
            </w:r>
          </w:p>
          <w:p w:rsidR="00C94564" w:rsidRPr="009642ED" w:rsidRDefault="00C94564" w:rsidP="00BB1C02">
            <w:pPr>
              <w:spacing w:after="0" w:line="240" w:lineRule="auto"/>
              <w:jc w:val="right"/>
              <w:rPr>
                <w:rFonts w:ascii="Times New Roman" w:hAnsi="Times New Roman"/>
                <w:sz w:val="23"/>
                <w:szCs w:val="23"/>
              </w:rPr>
            </w:pPr>
            <w:r w:rsidRPr="009642ED">
              <w:rPr>
                <w:rFonts w:ascii="Times New Roman" w:hAnsi="Times New Roman"/>
                <w:sz w:val="23"/>
                <w:szCs w:val="23"/>
              </w:rPr>
              <w:t>matemati</w:t>
            </w:r>
            <w:r>
              <w:rPr>
                <w:rFonts w:ascii="Times New Roman" w:hAnsi="Times New Roman"/>
                <w:sz w:val="23"/>
                <w:szCs w:val="23"/>
              </w:rPr>
              <w:t>nis raštingumas</w:t>
            </w:r>
          </w:p>
          <w:p w:rsidR="00C94564" w:rsidRPr="009642ED" w:rsidRDefault="00C94564" w:rsidP="00BB1C02">
            <w:pPr>
              <w:spacing w:after="0" w:line="240" w:lineRule="auto"/>
              <w:jc w:val="right"/>
              <w:rPr>
                <w:rFonts w:ascii="Times New Roman" w:hAnsi="Times New Roman"/>
                <w:sz w:val="23"/>
                <w:szCs w:val="23"/>
              </w:rPr>
            </w:pPr>
            <w:r w:rsidRPr="009642ED">
              <w:rPr>
                <w:rFonts w:ascii="Times New Roman" w:hAnsi="Times New Roman"/>
                <w:sz w:val="23"/>
                <w:szCs w:val="23"/>
              </w:rPr>
              <w:t>gamt</w:t>
            </w:r>
            <w:r>
              <w:rPr>
                <w:rFonts w:ascii="Times New Roman" w:hAnsi="Times New Roman"/>
                <w:sz w:val="23"/>
                <w:szCs w:val="23"/>
              </w:rPr>
              <w:t>amokslinis raštingumas</w:t>
            </w:r>
            <w:r w:rsidRPr="009642ED">
              <w:rPr>
                <w:rFonts w:ascii="Times New Roman" w:hAnsi="Times New Roman"/>
                <w:sz w:val="23"/>
                <w:szCs w:val="23"/>
              </w:rPr>
              <w:t xml:space="preserve"> </w:t>
            </w:r>
          </w:p>
        </w:tc>
        <w:tc>
          <w:tcPr>
            <w:tcW w:w="1210" w:type="dxa"/>
            <w:shd w:val="clear" w:color="auto" w:fill="FFFFFF"/>
          </w:tcPr>
          <w:p w:rsidR="00C94564" w:rsidRPr="009642ED" w:rsidRDefault="00C94564" w:rsidP="00B03E60">
            <w:pPr>
              <w:spacing w:after="0" w:line="240" w:lineRule="auto"/>
              <w:rPr>
                <w:rFonts w:ascii="Times New Roman" w:hAnsi="Times New Roman"/>
                <w:sz w:val="23"/>
                <w:szCs w:val="23"/>
              </w:rPr>
            </w:pPr>
          </w:p>
          <w:p w:rsidR="00C94564" w:rsidRPr="009642ED" w:rsidRDefault="00C94564" w:rsidP="00B03E60">
            <w:pPr>
              <w:spacing w:after="0" w:line="240" w:lineRule="auto"/>
              <w:rPr>
                <w:rFonts w:ascii="Times New Roman" w:hAnsi="Times New Roman"/>
                <w:sz w:val="23"/>
                <w:szCs w:val="23"/>
              </w:rPr>
            </w:pP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45,6</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47,7</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54,1 (2009)</w:t>
            </w:r>
          </w:p>
        </w:tc>
        <w:tc>
          <w:tcPr>
            <w:tcW w:w="1210" w:type="dxa"/>
            <w:shd w:val="clear" w:color="auto" w:fill="FFFFFF"/>
            <w:vAlign w:val="center"/>
          </w:tcPr>
          <w:p w:rsidR="00C94564" w:rsidRPr="00792E38" w:rsidRDefault="00C94564" w:rsidP="00BB1C02">
            <w:pPr>
              <w:spacing w:after="0" w:line="240" w:lineRule="auto"/>
              <w:jc w:val="center"/>
              <w:rPr>
                <w:rFonts w:ascii="Times New Roman" w:hAnsi="Times New Roman"/>
                <w:sz w:val="20"/>
                <w:szCs w:val="20"/>
              </w:rPr>
            </w:pPr>
            <w:r w:rsidRPr="00792E38">
              <w:rPr>
                <w:rFonts w:ascii="Times New Roman" w:hAnsi="Times New Roman"/>
                <w:sz w:val="20"/>
                <w:szCs w:val="20"/>
              </w:rPr>
              <w:t>Vidutiniškai ne mažiau</w:t>
            </w:r>
          </w:p>
          <w:p w:rsidR="00C94564" w:rsidRDefault="00C94564" w:rsidP="00BB1C02">
            <w:pPr>
              <w:spacing w:after="0" w:line="240" w:lineRule="auto"/>
              <w:jc w:val="center"/>
              <w:rPr>
                <w:rFonts w:ascii="Times New Roman" w:hAnsi="Times New Roman"/>
                <w:sz w:val="20"/>
                <w:szCs w:val="20"/>
              </w:rPr>
            </w:pPr>
            <w:r w:rsidRPr="00792E38">
              <w:rPr>
                <w:rFonts w:ascii="Times New Roman" w:hAnsi="Times New Roman"/>
                <w:sz w:val="20"/>
                <w:szCs w:val="20"/>
              </w:rPr>
              <w:t>kaip 50</w:t>
            </w:r>
          </w:p>
          <w:p w:rsidR="00C94564"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47</w:t>
            </w:r>
          </w:p>
          <w:p w:rsidR="00C94564"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49</w:t>
            </w:r>
          </w:p>
          <w:p w:rsidR="00C94564" w:rsidRPr="00792E38"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55</w:t>
            </w:r>
          </w:p>
        </w:tc>
        <w:tc>
          <w:tcPr>
            <w:tcW w:w="1281" w:type="dxa"/>
            <w:shd w:val="clear" w:color="auto" w:fill="FFFFFF"/>
            <w:vAlign w:val="center"/>
          </w:tcPr>
          <w:p w:rsidR="00C94564" w:rsidRPr="00792E38" w:rsidRDefault="00C94564" w:rsidP="001D2B42">
            <w:pPr>
              <w:spacing w:after="0" w:line="240" w:lineRule="auto"/>
              <w:jc w:val="center"/>
              <w:rPr>
                <w:rFonts w:ascii="Times New Roman" w:hAnsi="Times New Roman"/>
                <w:sz w:val="20"/>
                <w:szCs w:val="20"/>
              </w:rPr>
            </w:pPr>
            <w:r w:rsidRPr="00792E38">
              <w:rPr>
                <w:rFonts w:ascii="Times New Roman" w:hAnsi="Times New Roman"/>
                <w:sz w:val="20"/>
                <w:szCs w:val="20"/>
              </w:rPr>
              <w:t>Vidutiniškai ne mažiau</w:t>
            </w:r>
          </w:p>
          <w:p w:rsidR="00C94564" w:rsidRDefault="00C94564" w:rsidP="00BB1C02">
            <w:pPr>
              <w:spacing w:after="0" w:line="240" w:lineRule="auto"/>
              <w:jc w:val="center"/>
              <w:rPr>
                <w:rFonts w:ascii="Times New Roman" w:hAnsi="Times New Roman"/>
                <w:sz w:val="20"/>
                <w:szCs w:val="20"/>
              </w:rPr>
            </w:pPr>
            <w:r w:rsidRPr="00792E38">
              <w:rPr>
                <w:rFonts w:ascii="Times New Roman" w:hAnsi="Times New Roman"/>
                <w:sz w:val="20"/>
                <w:szCs w:val="20"/>
              </w:rPr>
              <w:t>kaip 54</w:t>
            </w:r>
          </w:p>
          <w:p w:rsidR="00C94564"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49</w:t>
            </w:r>
          </w:p>
          <w:p w:rsidR="00C94564"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51</w:t>
            </w:r>
          </w:p>
          <w:p w:rsidR="00C94564" w:rsidRPr="00792E38" w:rsidRDefault="00C94564" w:rsidP="00BB1C02">
            <w:pPr>
              <w:spacing w:after="0" w:line="240" w:lineRule="auto"/>
              <w:jc w:val="center"/>
              <w:rPr>
                <w:rFonts w:ascii="Times New Roman" w:hAnsi="Times New Roman"/>
                <w:sz w:val="20"/>
                <w:szCs w:val="20"/>
              </w:rPr>
            </w:pPr>
            <w:r>
              <w:rPr>
                <w:rFonts w:ascii="Times New Roman" w:hAnsi="Times New Roman"/>
                <w:sz w:val="20"/>
                <w:szCs w:val="20"/>
              </w:rPr>
              <w:t>56</w:t>
            </w:r>
          </w:p>
        </w:tc>
      </w:tr>
      <w:tr w:rsidR="00C94564" w:rsidRPr="009642ED" w:rsidTr="00792E38">
        <w:trPr>
          <w:cantSplit/>
          <w:trHeight w:val="1676"/>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BB1C02">
            <w:pPr>
              <w:spacing w:after="0" w:line="240" w:lineRule="auto"/>
              <w:rPr>
                <w:rFonts w:ascii="Times New Roman" w:hAnsi="Times New Roman"/>
                <w:sz w:val="23"/>
                <w:szCs w:val="23"/>
              </w:rPr>
            </w:pPr>
            <w:r w:rsidRPr="009642ED">
              <w:rPr>
                <w:rFonts w:ascii="Times New Roman" w:hAnsi="Times New Roman"/>
                <w:sz w:val="23"/>
                <w:szCs w:val="23"/>
              </w:rPr>
              <w:t xml:space="preserve">Mokinių, nepasiekiančių 2 (iš 6) Tarptautinio penkiolikmečių mokymosi pasiekimų tyrimo PISA lygio, dalis, proc. (OECD) </w:t>
            </w:r>
          </w:p>
          <w:p w:rsidR="00C94564" w:rsidRPr="009642ED" w:rsidRDefault="00C94564" w:rsidP="00BB1C02">
            <w:pPr>
              <w:spacing w:after="0" w:line="240" w:lineRule="auto"/>
              <w:jc w:val="right"/>
              <w:rPr>
                <w:rFonts w:ascii="Times New Roman" w:hAnsi="Times New Roman"/>
                <w:sz w:val="23"/>
                <w:szCs w:val="23"/>
              </w:rPr>
            </w:pPr>
            <w:r>
              <w:rPr>
                <w:rFonts w:ascii="Times New Roman" w:hAnsi="Times New Roman"/>
                <w:sz w:val="23"/>
                <w:szCs w:val="23"/>
              </w:rPr>
              <w:t>skaitymo raštingumas</w:t>
            </w:r>
            <w:r w:rsidRPr="009642ED">
              <w:rPr>
                <w:rFonts w:ascii="Times New Roman" w:hAnsi="Times New Roman"/>
                <w:sz w:val="23"/>
                <w:szCs w:val="23"/>
              </w:rPr>
              <w:t xml:space="preserve"> </w:t>
            </w:r>
          </w:p>
          <w:p w:rsidR="00C94564" w:rsidRPr="009642ED" w:rsidRDefault="00C94564" w:rsidP="00BB1C02">
            <w:pPr>
              <w:spacing w:after="0" w:line="240" w:lineRule="auto"/>
              <w:jc w:val="right"/>
              <w:rPr>
                <w:rFonts w:ascii="Times New Roman" w:hAnsi="Times New Roman"/>
                <w:sz w:val="23"/>
                <w:szCs w:val="23"/>
              </w:rPr>
            </w:pPr>
            <w:r>
              <w:rPr>
                <w:rFonts w:ascii="Times New Roman" w:hAnsi="Times New Roman"/>
                <w:sz w:val="23"/>
                <w:szCs w:val="23"/>
              </w:rPr>
              <w:t>matematinis raštingumas</w:t>
            </w:r>
          </w:p>
          <w:p w:rsidR="00C94564" w:rsidRPr="009642ED" w:rsidRDefault="00C94564" w:rsidP="00BB1C02">
            <w:pPr>
              <w:spacing w:after="0" w:line="240" w:lineRule="auto"/>
              <w:jc w:val="right"/>
              <w:rPr>
                <w:rFonts w:ascii="Times New Roman" w:hAnsi="Times New Roman"/>
                <w:sz w:val="23"/>
                <w:szCs w:val="23"/>
              </w:rPr>
            </w:pPr>
            <w:r>
              <w:rPr>
                <w:rFonts w:ascii="Times New Roman" w:hAnsi="Times New Roman"/>
                <w:sz w:val="23"/>
                <w:szCs w:val="23"/>
              </w:rPr>
              <w:t>gamtamokslinis raštingumas</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p>
          <w:p w:rsidR="00C94564" w:rsidRPr="009642ED" w:rsidRDefault="00C94564" w:rsidP="0056336F">
            <w:pPr>
              <w:spacing w:after="0" w:line="240" w:lineRule="auto"/>
              <w:jc w:val="center"/>
              <w:rPr>
                <w:rFonts w:ascii="Times New Roman" w:hAnsi="Times New Roman"/>
                <w:sz w:val="23"/>
                <w:szCs w:val="23"/>
              </w:rPr>
            </w:pPr>
          </w:p>
          <w:p w:rsidR="00C94564" w:rsidRPr="009642ED" w:rsidRDefault="00C94564" w:rsidP="00466F9E">
            <w:pPr>
              <w:spacing w:after="0" w:line="240" w:lineRule="auto"/>
              <w:jc w:val="center"/>
              <w:rPr>
                <w:rFonts w:ascii="Times New Roman" w:hAnsi="Times New Roman"/>
                <w:sz w:val="23"/>
                <w:szCs w:val="23"/>
              </w:rPr>
            </w:pPr>
            <w:r w:rsidRPr="009642ED">
              <w:rPr>
                <w:rFonts w:ascii="Times New Roman" w:hAnsi="Times New Roman"/>
                <w:sz w:val="23"/>
                <w:szCs w:val="23"/>
              </w:rPr>
              <w:t>24,3</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26,3</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17,0</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 xml:space="preserve"> (2009)</w:t>
            </w:r>
          </w:p>
        </w:tc>
        <w:tc>
          <w:tcPr>
            <w:tcW w:w="1210" w:type="dxa"/>
            <w:shd w:val="clear" w:color="auto" w:fill="FFFFFF"/>
            <w:vAlign w:val="center"/>
          </w:tcPr>
          <w:p w:rsidR="00C94564" w:rsidRDefault="00C94564" w:rsidP="00792E38">
            <w:pPr>
              <w:spacing w:after="0" w:line="240" w:lineRule="auto"/>
              <w:jc w:val="center"/>
              <w:rPr>
                <w:rFonts w:ascii="Times New Roman" w:hAnsi="Times New Roman"/>
                <w:sz w:val="20"/>
                <w:szCs w:val="20"/>
              </w:rPr>
            </w:pPr>
            <w:r w:rsidRPr="00792E38">
              <w:rPr>
                <w:rFonts w:ascii="Times New Roman" w:hAnsi="Times New Roman"/>
                <w:sz w:val="20"/>
                <w:szCs w:val="20"/>
              </w:rPr>
              <w:t>Vidutiniškai ne daugiau kaip</w:t>
            </w:r>
            <w:r>
              <w:rPr>
                <w:rFonts w:ascii="Times New Roman" w:hAnsi="Times New Roman"/>
                <w:sz w:val="20"/>
                <w:szCs w:val="20"/>
              </w:rPr>
              <w:t xml:space="preserve"> </w:t>
            </w:r>
            <w:r w:rsidRPr="00792E38">
              <w:rPr>
                <w:rFonts w:ascii="Times New Roman" w:hAnsi="Times New Roman"/>
                <w:sz w:val="20"/>
                <w:szCs w:val="20"/>
              </w:rPr>
              <w:t>20</w:t>
            </w:r>
          </w:p>
          <w:p w:rsidR="00C94564" w:rsidRDefault="00C94564" w:rsidP="001D2B42">
            <w:pPr>
              <w:spacing w:after="0" w:line="240" w:lineRule="auto"/>
              <w:jc w:val="center"/>
              <w:rPr>
                <w:rFonts w:ascii="Times New Roman" w:hAnsi="Times New Roman"/>
                <w:sz w:val="20"/>
                <w:szCs w:val="20"/>
              </w:rPr>
            </w:pPr>
            <w:r>
              <w:rPr>
                <w:rFonts w:ascii="Times New Roman" w:hAnsi="Times New Roman"/>
                <w:sz w:val="20"/>
                <w:szCs w:val="20"/>
              </w:rPr>
              <w:t>22</w:t>
            </w:r>
          </w:p>
          <w:p w:rsidR="00C94564" w:rsidRDefault="00C94564" w:rsidP="001D2B42">
            <w:pPr>
              <w:spacing w:after="0" w:line="240" w:lineRule="auto"/>
              <w:jc w:val="center"/>
              <w:rPr>
                <w:rFonts w:ascii="Times New Roman" w:hAnsi="Times New Roman"/>
                <w:sz w:val="20"/>
                <w:szCs w:val="20"/>
              </w:rPr>
            </w:pPr>
            <w:r>
              <w:rPr>
                <w:rFonts w:ascii="Times New Roman" w:hAnsi="Times New Roman"/>
                <w:sz w:val="20"/>
                <w:szCs w:val="20"/>
              </w:rPr>
              <w:t>24</w:t>
            </w:r>
          </w:p>
          <w:p w:rsidR="00C94564" w:rsidRDefault="00C94564" w:rsidP="00792E38">
            <w:pPr>
              <w:spacing w:after="0" w:line="240" w:lineRule="auto"/>
              <w:jc w:val="center"/>
              <w:rPr>
                <w:rFonts w:ascii="Times New Roman" w:hAnsi="Times New Roman"/>
                <w:sz w:val="20"/>
                <w:szCs w:val="20"/>
              </w:rPr>
            </w:pPr>
            <w:r>
              <w:rPr>
                <w:rFonts w:ascii="Times New Roman" w:hAnsi="Times New Roman"/>
                <w:sz w:val="20"/>
                <w:szCs w:val="20"/>
              </w:rPr>
              <w:t>15</w:t>
            </w:r>
          </w:p>
          <w:p w:rsidR="00C94564" w:rsidRDefault="00C94564" w:rsidP="00792E38">
            <w:pPr>
              <w:spacing w:after="0" w:line="240" w:lineRule="auto"/>
              <w:jc w:val="center"/>
              <w:rPr>
                <w:rFonts w:ascii="Times New Roman" w:hAnsi="Times New Roman"/>
                <w:sz w:val="20"/>
                <w:szCs w:val="20"/>
              </w:rPr>
            </w:pPr>
          </w:p>
          <w:p w:rsidR="00C94564" w:rsidRPr="00792E38" w:rsidRDefault="00C94564" w:rsidP="00792E38">
            <w:pPr>
              <w:spacing w:after="0" w:line="240" w:lineRule="auto"/>
              <w:rPr>
                <w:rFonts w:ascii="Times New Roman" w:hAnsi="Times New Roman"/>
                <w:sz w:val="20"/>
                <w:szCs w:val="20"/>
              </w:rPr>
            </w:pPr>
          </w:p>
        </w:tc>
        <w:tc>
          <w:tcPr>
            <w:tcW w:w="1281" w:type="dxa"/>
            <w:shd w:val="clear" w:color="auto" w:fill="FFFFFF"/>
            <w:vAlign w:val="center"/>
          </w:tcPr>
          <w:p w:rsidR="00C94564" w:rsidRDefault="00C94564" w:rsidP="00792E38">
            <w:pPr>
              <w:spacing w:after="0" w:line="240" w:lineRule="auto"/>
              <w:jc w:val="center"/>
              <w:rPr>
                <w:rFonts w:ascii="Times New Roman" w:hAnsi="Times New Roman"/>
                <w:sz w:val="20"/>
                <w:szCs w:val="20"/>
              </w:rPr>
            </w:pPr>
            <w:r w:rsidRPr="00792E38">
              <w:rPr>
                <w:rFonts w:ascii="Times New Roman" w:hAnsi="Times New Roman"/>
                <w:sz w:val="20"/>
                <w:szCs w:val="20"/>
              </w:rPr>
              <w:t>Vidutiniškai ne daugiau kaip</w:t>
            </w:r>
            <w:r>
              <w:rPr>
                <w:rFonts w:ascii="Times New Roman" w:hAnsi="Times New Roman"/>
                <w:sz w:val="20"/>
                <w:szCs w:val="20"/>
              </w:rPr>
              <w:t xml:space="preserve"> </w:t>
            </w:r>
            <w:r w:rsidRPr="00792E38">
              <w:rPr>
                <w:rFonts w:ascii="Times New Roman" w:hAnsi="Times New Roman"/>
                <w:sz w:val="20"/>
                <w:szCs w:val="20"/>
              </w:rPr>
              <w:t>15</w:t>
            </w:r>
          </w:p>
          <w:p w:rsidR="00C94564" w:rsidRDefault="00C94564" w:rsidP="00792E38">
            <w:pPr>
              <w:spacing w:after="0" w:line="240" w:lineRule="auto"/>
              <w:jc w:val="center"/>
              <w:rPr>
                <w:rFonts w:ascii="Times New Roman" w:hAnsi="Times New Roman"/>
                <w:sz w:val="20"/>
                <w:szCs w:val="20"/>
              </w:rPr>
            </w:pPr>
            <w:r>
              <w:rPr>
                <w:rFonts w:ascii="Times New Roman" w:hAnsi="Times New Roman"/>
                <w:sz w:val="20"/>
                <w:szCs w:val="20"/>
              </w:rPr>
              <w:t>19</w:t>
            </w:r>
          </w:p>
          <w:p w:rsidR="00C94564" w:rsidRDefault="00C94564" w:rsidP="00792E38">
            <w:pPr>
              <w:spacing w:after="0" w:line="240" w:lineRule="auto"/>
              <w:jc w:val="center"/>
              <w:rPr>
                <w:rFonts w:ascii="Times New Roman" w:hAnsi="Times New Roman"/>
                <w:sz w:val="20"/>
                <w:szCs w:val="20"/>
              </w:rPr>
            </w:pPr>
            <w:r>
              <w:rPr>
                <w:rFonts w:ascii="Times New Roman" w:hAnsi="Times New Roman"/>
                <w:sz w:val="20"/>
                <w:szCs w:val="20"/>
              </w:rPr>
              <w:t>20</w:t>
            </w:r>
          </w:p>
          <w:p w:rsidR="00C94564" w:rsidRDefault="00C94564" w:rsidP="00792E38">
            <w:pPr>
              <w:spacing w:after="0" w:line="240" w:lineRule="auto"/>
              <w:jc w:val="center"/>
              <w:rPr>
                <w:rFonts w:ascii="Times New Roman" w:hAnsi="Times New Roman"/>
                <w:sz w:val="20"/>
                <w:szCs w:val="20"/>
              </w:rPr>
            </w:pPr>
            <w:r>
              <w:rPr>
                <w:rFonts w:ascii="Times New Roman" w:hAnsi="Times New Roman"/>
                <w:sz w:val="20"/>
                <w:szCs w:val="20"/>
              </w:rPr>
              <w:t>14</w:t>
            </w:r>
          </w:p>
          <w:p w:rsidR="00C94564" w:rsidRDefault="00C94564" w:rsidP="001D2B42">
            <w:pPr>
              <w:spacing w:after="0" w:line="240" w:lineRule="auto"/>
              <w:jc w:val="center"/>
              <w:rPr>
                <w:rFonts w:ascii="Times New Roman" w:hAnsi="Times New Roman"/>
                <w:sz w:val="20"/>
                <w:szCs w:val="20"/>
              </w:rPr>
            </w:pPr>
          </w:p>
          <w:p w:rsidR="00C94564" w:rsidRPr="00792E38" w:rsidRDefault="00C94564" w:rsidP="001D2B42">
            <w:pPr>
              <w:spacing w:after="0" w:line="240" w:lineRule="auto"/>
              <w:jc w:val="center"/>
              <w:rPr>
                <w:rFonts w:ascii="Times New Roman" w:hAnsi="Times New Roman"/>
                <w:sz w:val="20"/>
                <w:szCs w:val="20"/>
              </w:rPr>
            </w:pP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4</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 xml:space="preserve">25–64 metų asmenų, turinčių bent vidurinį išsilavinimą, dalis, proc. (Europos Sąjungos statistikos tarnyba „Eurostat“) </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92,9</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Pr>
                <w:rFonts w:ascii="Times New Roman" w:hAnsi="Times New Roman"/>
                <w:sz w:val="23"/>
                <w:szCs w:val="23"/>
              </w:rPr>
              <w:t>93</w:t>
            </w:r>
          </w:p>
        </w:tc>
        <w:tc>
          <w:tcPr>
            <w:tcW w:w="1281"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93</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5</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30–34 metų asmenų, turinčių aukštąjį ar jam prilygintą išsilavinimą, dalis, proc. (Europos Sąjungos statistikos tarnyba „Eurostat“)</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45,4 (2011)</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44</w:t>
            </w:r>
          </w:p>
        </w:tc>
        <w:tc>
          <w:tcPr>
            <w:tcW w:w="1281"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44</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6</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 xml:space="preserve">Lietuvos aukštųjų mokyklų, patenkančių į ARWU (Akademinio pasaulio universitetų reitingo, angl. „Academic Ranking of World Universities“) 500-ką, skaičius (ARWU) </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w:t>
            </w:r>
          </w:p>
        </w:tc>
        <w:tc>
          <w:tcPr>
            <w:tcW w:w="1281"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Pr>
                <w:rFonts w:ascii="Times New Roman" w:hAnsi="Times New Roman"/>
                <w:sz w:val="23"/>
                <w:szCs w:val="23"/>
              </w:rPr>
              <w:t>1</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7</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Iš Bolonijos proceso regiono atvykstančių ir į ten išvykstančių laikinai studijuoti studentų skaičiaus santykis Lietuvai (Europos Sąjungos statistikos tarnyba „Eurostat“)</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0,09</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(2009)</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0,3</w:t>
            </w:r>
          </w:p>
        </w:tc>
        <w:tc>
          <w:tcPr>
            <w:tcW w:w="1281" w:type="dxa"/>
            <w:shd w:val="clear" w:color="auto" w:fill="FFFFFF"/>
          </w:tcPr>
          <w:p w:rsidR="00C94564" w:rsidRPr="009642ED" w:rsidRDefault="00C94564" w:rsidP="001D2B42">
            <w:pPr>
              <w:spacing w:after="0" w:line="240" w:lineRule="auto"/>
              <w:jc w:val="center"/>
              <w:rPr>
                <w:rFonts w:ascii="Times New Roman" w:hAnsi="Times New Roman"/>
                <w:sz w:val="23"/>
                <w:szCs w:val="23"/>
              </w:rPr>
            </w:pPr>
            <w:r w:rsidRPr="009642ED">
              <w:rPr>
                <w:rFonts w:ascii="Times New Roman" w:hAnsi="Times New Roman"/>
                <w:sz w:val="23"/>
                <w:szCs w:val="23"/>
              </w:rPr>
              <w:t>0,6</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8</w:t>
            </w:r>
          </w:p>
        </w:tc>
        <w:tc>
          <w:tcPr>
            <w:tcW w:w="3360" w:type="dxa"/>
            <w:vMerge/>
          </w:tcPr>
          <w:p w:rsidR="00C94564" w:rsidRPr="009642ED" w:rsidRDefault="00C94564" w:rsidP="00BF460A">
            <w:pPr>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 xml:space="preserve">Proporcingu tempu gerėjančių </w:t>
            </w:r>
            <w:r>
              <w:rPr>
                <w:rFonts w:ascii="Times New Roman" w:hAnsi="Times New Roman"/>
                <w:sz w:val="23"/>
                <w:szCs w:val="23"/>
              </w:rPr>
              <w:t>vertinimo</w:t>
            </w:r>
            <w:r w:rsidRPr="009642ED">
              <w:rPr>
                <w:rFonts w:ascii="Times New Roman" w:hAnsi="Times New Roman"/>
                <w:sz w:val="23"/>
                <w:szCs w:val="23"/>
              </w:rPr>
              <w:t xml:space="preserve"> rodiklių dalis, proc. (visi)</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0</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70</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100</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9</w:t>
            </w:r>
          </w:p>
        </w:tc>
        <w:tc>
          <w:tcPr>
            <w:tcW w:w="3360" w:type="dxa"/>
            <w:vMerge/>
          </w:tcPr>
          <w:p w:rsidR="00C94564" w:rsidRPr="009642ED" w:rsidRDefault="00C94564" w:rsidP="0056336F">
            <w:pPr>
              <w:spacing w:after="0" w:line="240" w:lineRule="auto"/>
              <w:rPr>
                <w:rFonts w:ascii="Times New Roman" w:hAnsi="Times New Roman"/>
                <w:b/>
                <w:sz w:val="23"/>
                <w:szCs w:val="23"/>
              </w:rPr>
            </w:pPr>
          </w:p>
        </w:tc>
        <w:tc>
          <w:tcPr>
            <w:tcW w:w="7370" w:type="dxa"/>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15–24 metų asmeniui vidutiniškai tenkantis narysčių asociacijose, klubuose ir pan. skaičius (Lietuvos Respublikos švietimo ir mokslo ministerijos užsakomasis tyrimas)</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0,6</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(ekspert.)</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0,8</w:t>
            </w:r>
          </w:p>
        </w:tc>
        <w:tc>
          <w:tcPr>
            <w:tcW w:w="1281"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w:t>
            </w:r>
          </w:p>
        </w:tc>
      </w:tr>
      <w:tr w:rsidR="00C94564" w:rsidRPr="009642ED">
        <w:trPr>
          <w:cantSplit/>
          <w:trHeight w:val="267"/>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10</w:t>
            </w:r>
          </w:p>
        </w:tc>
        <w:tc>
          <w:tcPr>
            <w:tcW w:w="3360" w:type="dxa"/>
            <w:vMerge w:val="restart"/>
          </w:tcPr>
          <w:p w:rsidR="00C94564" w:rsidRPr="009642ED" w:rsidRDefault="00C94564" w:rsidP="00915DC3">
            <w:pPr>
              <w:numPr>
                <w:ilvl w:val="0"/>
                <w:numId w:val="3"/>
              </w:numPr>
              <w:tabs>
                <w:tab w:val="clear" w:pos="0"/>
                <w:tab w:val="num" w:pos="229"/>
              </w:tabs>
              <w:spacing w:after="0" w:line="240" w:lineRule="auto"/>
              <w:rPr>
                <w:rFonts w:ascii="Times New Roman" w:hAnsi="Times New Roman"/>
                <w:iCs/>
                <w:sz w:val="23"/>
                <w:szCs w:val="23"/>
              </w:rPr>
            </w:pPr>
            <w:r w:rsidRPr="009642ED">
              <w:rPr>
                <w:rFonts w:ascii="Times New Roman" w:hAnsi="Times New Roman"/>
                <w:sz w:val="23"/>
                <w:szCs w:val="23"/>
              </w:rPr>
              <w:t>Pasiekti tokį pedagoginių bendruomenių lygį, kai jų kritinę masę sudaro reflektuojantys, nuolat tobulėjantys ir rezultatyviai dirbantys profesionalūs mokytojai ir dėstytojai</w:t>
            </w: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Įstojusių į švietimo ir ugdymo krypčių grupės programas universitetuose minimalaus konkursinio balo skirtumas nuo įstojusių į populiariausios grupės (teisės studijų) programas, proc.</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27</w:t>
            </w:r>
          </w:p>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 xml:space="preserve">12 </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 xml:space="preserve">10 </w:t>
            </w:r>
          </w:p>
        </w:tc>
      </w:tr>
      <w:tr w:rsidR="00C94564" w:rsidRPr="009642ED">
        <w:trPr>
          <w:cantSplit/>
          <w:trHeight w:val="548"/>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11</w:t>
            </w:r>
          </w:p>
        </w:tc>
        <w:tc>
          <w:tcPr>
            <w:tcW w:w="3360" w:type="dxa"/>
            <w:vMerge/>
          </w:tcPr>
          <w:p w:rsidR="00C94564" w:rsidRPr="009642ED" w:rsidRDefault="00C94564" w:rsidP="00BF460A">
            <w:pPr>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Vyrų mokytojų, dirbančių pagal pagrindinio ir vidurinio ugdymo programas, dalis, proc.</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12,4</w:t>
            </w:r>
          </w:p>
          <w:p w:rsidR="00C94564" w:rsidRPr="009642ED" w:rsidDel="00221382"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17</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w:t>
            </w:r>
          </w:p>
        </w:tc>
      </w:tr>
      <w:tr w:rsidR="00C94564" w:rsidRPr="009642ED">
        <w:trPr>
          <w:cantSplit/>
          <w:trHeight w:val="438"/>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12</w:t>
            </w:r>
          </w:p>
        </w:tc>
        <w:tc>
          <w:tcPr>
            <w:tcW w:w="3360" w:type="dxa"/>
            <w:vMerge/>
          </w:tcPr>
          <w:p w:rsidR="00C94564" w:rsidRPr="009642ED" w:rsidRDefault="00C94564" w:rsidP="00BF460A">
            <w:pPr>
              <w:numPr>
                <w:ilvl w:val="1"/>
                <w:numId w:val="3"/>
              </w:numPr>
              <w:tabs>
                <w:tab w:val="num" w:pos="449"/>
              </w:tabs>
              <w:spacing w:after="0" w:line="240" w:lineRule="auto"/>
              <w:rPr>
                <w:rFonts w:ascii="Times New Roman" w:hAnsi="Times New Roman"/>
                <w:b/>
                <w:sz w:val="23"/>
                <w:szCs w:val="23"/>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Grįžusių studijuoti bent 1 semestrui mokytojų dalis, proc.</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Nėra duomenų</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7</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w:t>
            </w:r>
          </w:p>
        </w:tc>
      </w:tr>
      <w:tr w:rsidR="00C94564" w:rsidRPr="009642ED">
        <w:trPr>
          <w:cantSplit/>
          <w:trHeight w:val="16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13</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Mokytojų, kurie per pastaruosius 5 metus mokėsi bent 1 mėnesio trukmės arba 6 kreditų apimties stažuotėje, dalis, proc. (ŠVIS – Švietimo valdymo informacinė sistema)</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Pr>
                <w:rFonts w:ascii="Times New Roman" w:hAnsi="Times New Roman"/>
                <w:sz w:val="23"/>
                <w:szCs w:val="23"/>
              </w:rPr>
              <w:t>Nėra duomenų</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16</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w:t>
            </w:r>
          </w:p>
        </w:tc>
      </w:tr>
      <w:tr w:rsidR="00C94564" w:rsidRPr="009642ED">
        <w:trPr>
          <w:cantSplit/>
          <w:trHeight w:val="498"/>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14</w:t>
            </w:r>
          </w:p>
        </w:tc>
        <w:tc>
          <w:tcPr>
            <w:tcW w:w="3360" w:type="dxa"/>
            <w:vMerge/>
          </w:tcPr>
          <w:p w:rsidR="00C94564" w:rsidRPr="009642ED" w:rsidRDefault="00C94564" w:rsidP="00915DC3">
            <w:pPr>
              <w:numPr>
                <w:ilvl w:val="1"/>
                <w:numId w:val="3"/>
              </w:numPr>
              <w:tabs>
                <w:tab w:val="clear" w:pos="0"/>
                <w:tab w:val="left"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Bendrojo ugdymo mokytojų stažo vidurkis, metais (ŠVIS – Švietimo valdymo informacinė sistema)</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 xml:space="preserve">22 </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18</w:t>
            </w:r>
          </w:p>
        </w:tc>
      </w:tr>
      <w:tr w:rsidR="00C94564" w:rsidRPr="009642ED">
        <w:trPr>
          <w:cantSplit/>
          <w:trHeight w:val="275"/>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15</w:t>
            </w:r>
          </w:p>
        </w:tc>
        <w:tc>
          <w:tcPr>
            <w:tcW w:w="3360" w:type="dxa"/>
            <w:vMerge/>
          </w:tcPr>
          <w:p w:rsidR="00C94564" w:rsidRPr="009642ED" w:rsidRDefault="00C94564" w:rsidP="00915DC3">
            <w:pPr>
              <w:numPr>
                <w:ilvl w:val="1"/>
                <w:numId w:val="3"/>
              </w:numPr>
              <w:tabs>
                <w:tab w:val="clear" w:pos="0"/>
                <w:tab w:val="left" w:pos="449"/>
              </w:tabs>
              <w:spacing w:after="0" w:line="240" w:lineRule="auto"/>
              <w:rPr>
                <w:rFonts w:ascii="Times New Roman" w:hAnsi="Times New Roman"/>
                <w:sz w:val="23"/>
                <w:szCs w:val="23"/>
              </w:rPr>
            </w:pPr>
          </w:p>
        </w:tc>
        <w:tc>
          <w:tcPr>
            <w:tcW w:w="7370" w:type="dxa"/>
          </w:tcPr>
          <w:p w:rsidR="00C94564" w:rsidRPr="009642ED" w:rsidRDefault="00C94564" w:rsidP="0056336F">
            <w:pPr>
              <w:spacing w:after="0" w:line="240" w:lineRule="auto"/>
              <w:ind w:right="-108"/>
              <w:rPr>
                <w:rFonts w:ascii="Times New Roman" w:hAnsi="Times New Roman"/>
                <w:sz w:val="23"/>
                <w:szCs w:val="23"/>
              </w:rPr>
            </w:pPr>
            <w:r w:rsidRPr="009642ED">
              <w:rPr>
                <w:rFonts w:ascii="Times New Roman" w:hAnsi="Times New Roman"/>
                <w:sz w:val="23"/>
                <w:szCs w:val="23"/>
              </w:rPr>
              <w:t>30–49 metų amžiaus universitetų dėstytojų dalis, proc.</w:t>
            </w:r>
          </w:p>
        </w:tc>
        <w:tc>
          <w:tcPr>
            <w:tcW w:w="1210"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53,0</w:t>
            </w:r>
          </w:p>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(2010)</w:t>
            </w:r>
          </w:p>
        </w:tc>
        <w:tc>
          <w:tcPr>
            <w:tcW w:w="1210"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55</w:t>
            </w:r>
          </w:p>
        </w:tc>
        <w:tc>
          <w:tcPr>
            <w:tcW w:w="1281"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60</w:t>
            </w:r>
          </w:p>
        </w:tc>
      </w:tr>
      <w:tr w:rsidR="00C94564" w:rsidRPr="009642ED">
        <w:trPr>
          <w:cantSplit/>
          <w:trHeight w:val="189"/>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16</w:t>
            </w:r>
          </w:p>
        </w:tc>
        <w:tc>
          <w:tcPr>
            <w:tcW w:w="3360" w:type="dxa"/>
            <w:vMerge/>
          </w:tcPr>
          <w:p w:rsidR="00C94564" w:rsidRPr="009642ED" w:rsidRDefault="00C94564" w:rsidP="0056336F">
            <w:pPr>
              <w:tabs>
                <w:tab w:val="left" w:pos="449"/>
              </w:tabs>
              <w:spacing w:after="0" w:line="240" w:lineRule="auto"/>
              <w:rPr>
                <w:rFonts w:ascii="Times New Roman" w:hAnsi="Times New Roman"/>
                <w:sz w:val="23"/>
                <w:szCs w:val="23"/>
              </w:rPr>
            </w:pPr>
          </w:p>
        </w:tc>
        <w:tc>
          <w:tcPr>
            <w:tcW w:w="7370" w:type="dxa"/>
          </w:tcPr>
          <w:p w:rsidR="00C94564" w:rsidRPr="009642ED" w:rsidRDefault="00C94564" w:rsidP="003B50B3">
            <w:pPr>
              <w:spacing w:after="0" w:line="240" w:lineRule="auto"/>
              <w:ind w:right="-108"/>
              <w:rPr>
                <w:rFonts w:ascii="Times New Roman" w:hAnsi="Times New Roman"/>
                <w:sz w:val="23"/>
                <w:szCs w:val="23"/>
              </w:rPr>
            </w:pPr>
            <w:r w:rsidRPr="009642ED">
              <w:rPr>
                <w:rFonts w:ascii="Times New Roman" w:hAnsi="Times New Roman"/>
                <w:sz w:val="23"/>
                <w:szCs w:val="23"/>
              </w:rPr>
              <w:t>30–49 metų amžiaus kolegijų dėstytojų dalis, proc.</w:t>
            </w:r>
          </w:p>
        </w:tc>
        <w:tc>
          <w:tcPr>
            <w:tcW w:w="1210"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51,3</w:t>
            </w:r>
          </w:p>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(2010)</w:t>
            </w:r>
          </w:p>
        </w:tc>
        <w:tc>
          <w:tcPr>
            <w:tcW w:w="1210"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55</w:t>
            </w:r>
          </w:p>
        </w:tc>
        <w:tc>
          <w:tcPr>
            <w:tcW w:w="1281" w:type="dxa"/>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60</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17</w:t>
            </w:r>
          </w:p>
        </w:tc>
        <w:tc>
          <w:tcPr>
            <w:tcW w:w="3360" w:type="dxa"/>
            <w:vMerge w:val="restart"/>
          </w:tcPr>
          <w:p w:rsidR="00C94564" w:rsidRPr="009642ED" w:rsidRDefault="00C94564" w:rsidP="00915DC3">
            <w:pPr>
              <w:numPr>
                <w:ilvl w:val="0"/>
                <w:numId w:val="3"/>
              </w:numPr>
              <w:tabs>
                <w:tab w:val="clear" w:pos="0"/>
                <w:tab w:val="num" w:pos="229"/>
              </w:tabs>
              <w:spacing w:after="0" w:line="240" w:lineRule="auto"/>
              <w:rPr>
                <w:rFonts w:ascii="Times New Roman" w:hAnsi="Times New Roman"/>
                <w:sz w:val="23"/>
                <w:szCs w:val="23"/>
              </w:rPr>
            </w:pPr>
            <w:r w:rsidRPr="009642ED">
              <w:rPr>
                <w:rFonts w:ascii="Times New Roman" w:hAnsi="Times New Roman"/>
                <w:sz w:val="23"/>
                <w:szCs w:val="23"/>
              </w:rPr>
              <w:t>Įdiegti duomenų analize ir įsivertinimu grįstą švietimo kultūrą, užtikrinančią savivaldos, socialinės partnerystės ir vadovų lyderystės darną</w:t>
            </w:r>
          </w:p>
        </w:tc>
        <w:tc>
          <w:tcPr>
            <w:tcW w:w="7370" w:type="dxa"/>
            <w:shd w:val="clear" w:color="auto" w:fill="FFFFFF"/>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15–29 metų jaunimo pilietinės galios indeksas, balais (Pilietinės visuomenės institutas „Civitas“)</w:t>
            </w:r>
          </w:p>
        </w:tc>
        <w:tc>
          <w:tcPr>
            <w:tcW w:w="1210" w:type="dxa"/>
            <w:shd w:val="clear" w:color="auto" w:fill="FFFFFF"/>
          </w:tcPr>
          <w:p w:rsidR="00C94564" w:rsidRPr="009642ED" w:rsidRDefault="00C94564" w:rsidP="00BF460A">
            <w:pPr>
              <w:spacing w:after="0" w:line="240" w:lineRule="auto"/>
              <w:jc w:val="center"/>
              <w:rPr>
                <w:sz w:val="23"/>
                <w:szCs w:val="23"/>
              </w:rPr>
            </w:pPr>
            <w:r w:rsidRPr="009642ED">
              <w:rPr>
                <w:rFonts w:ascii="Times New Roman" w:hAnsi="Times New Roman"/>
                <w:sz w:val="23"/>
                <w:szCs w:val="23"/>
              </w:rPr>
              <w:t xml:space="preserve">38,9 (2010)                                                                                                                                                                                                                                                                                                                                                                                                                                                                                                                                                                                                                                                                                                                                                                                                                                                                 </w:t>
            </w:r>
            <w:r w:rsidRPr="009642ED">
              <w:rPr>
                <w:sz w:val="23"/>
                <w:szCs w:val="23"/>
              </w:rPr>
              <w:t xml:space="preserve">                                                                                                                                                                                                                                                                                                                                                                                                                                                                                                                                                                                                                                                                                                                                                                                                                                                                                                                                                                                                                                                                                                        </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45</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55</w:t>
            </w:r>
          </w:p>
        </w:tc>
      </w:tr>
      <w:tr w:rsidR="00C94564" w:rsidRPr="009642ED">
        <w:trPr>
          <w:cantSplit/>
          <w:trHeight w:val="154"/>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18</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 xml:space="preserve">Universitetų ir verslo bendradarbiavimas, balais (Pasaulio ekonomikos forumas) </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4,2</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(2010)</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4,3</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4,5</w:t>
            </w:r>
          </w:p>
        </w:tc>
      </w:tr>
      <w:tr w:rsidR="00C94564" w:rsidRPr="009642ED">
        <w:trPr>
          <w:cantSplit/>
          <w:trHeight w:val="154"/>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19</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Per 2 mėnesius nė karto patyčių nepatyrusių mokinių dalis, proc. (Lietuvos Respublikos švietimo ir mokslo ministerijos užsakomasis tyrimas)</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44,6</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50</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70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20</w:t>
            </w:r>
          </w:p>
        </w:tc>
        <w:tc>
          <w:tcPr>
            <w:tcW w:w="3360" w:type="dxa"/>
            <w:vMerge/>
          </w:tcPr>
          <w:p w:rsidR="00C94564" w:rsidRPr="009642ED" w:rsidRDefault="00C94564" w:rsidP="00BF460A">
            <w:pPr>
              <w:spacing w:after="0" w:line="240" w:lineRule="auto"/>
              <w:rPr>
                <w:rFonts w:ascii="Times New Roman" w:hAnsi="Times New Roman"/>
                <w:sz w:val="23"/>
                <w:szCs w:val="23"/>
              </w:rPr>
            </w:pPr>
          </w:p>
        </w:tc>
        <w:tc>
          <w:tcPr>
            <w:tcW w:w="737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Pažangos ataskaitas paskelbusių mokyklų dalis, proc. (ŠVIS – Švietimo valdymo informacinė sistema)</w:t>
            </w:r>
          </w:p>
        </w:tc>
        <w:tc>
          <w:tcPr>
            <w:tcW w:w="1210" w:type="dxa"/>
          </w:tcPr>
          <w:p w:rsidR="00C94564" w:rsidRPr="009642ED" w:rsidRDefault="00C94564" w:rsidP="00BF460A">
            <w:pPr>
              <w:spacing w:after="0" w:line="240" w:lineRule="auto"/>
              <w:jc w:val="center"/>
              <w:rPr>
                <w:rFonts w:ascii="Times New Roman" w:hAnsi="Times New Roman"/>
                <w:sz w:val="23"/>
                <w:szCs w:val="23"/>
                <w:lang w:val="en-US"/>
              </w:rPr>
            </w:pPr>
            <w:r w:rsidRPr="009642ED">
              <w:rPr>
                <w:rFonts w:ascii="Times New Roman" w:hAnsi="Times New Roman"/>
                <w:sz w:val="23"/>
                <w:szCs w:val="23"/>
                <w:lang w:val="en-US"/>
              </w:rPr>
              <w:t>1,3</w:t>
            </w:r>
          </w:p>
          <w:p w:rsidR="00C94564" w:rsidRPr="009642ED" w:rsidRDefault="00C94564" w:rsidP="00BF460A">
            <w:pPr>
              <w:spacing w:after="0" w:line="240" w:lineRule="auto"/>
              <w:jc w:val="center"/>
              <w:rPr>
                <w:rFonts w:ascii="Times New Roman" w:hAnsi="Times New Roman"/>
                <w:sz w:val="23"/>
                <w:szCs w:val="23"/>
                <w:lang w:val="en-US"/>
              </w:rPr>
            </w:pPr>
            <w:r w:rsidRPr="009642ED">
              <w:rPr>
                <w:rFonts w:ascii="Times New Roman" w:hAnsi="Times New Roman"/>
                <w:sz w:val="23"/>
                <w:szCs w:val="23"/>
                <w:lang w:val="en-US"/>
              </w:rPr>
              <w:t>(2011)</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50</w:t>
            </w:r>
          </w:p>
        </w:tc>
        <w:tc>
          <w:tcPr>
            <w:tcW w:w="1281"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100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21</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Švietimo pažangos ataskaitas paskelbusių savivaldybių dalis, proc. (ŠVIS – Švietimo valdymo informacinė sistema)</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0</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50</w:t>
            </w:r>
          </w:p>
        </w:tc>
        <w:tc>
          <w:tcPr>
            <w:tcW w:w="1281"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100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22</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Studijų programų, akredituotų 6 metams, dalis nuo visų akredituotų programų, proc. (SKVC – Studijų kokybės vertinimo centras)</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47</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60</w:t>
            </w:r>
          </w:p>
        </w:tc>
        <w:tc>
          <w:tcPr>
            <w:tcW w:w="1281" w:type="dxa"/>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80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23</w:t>
            </w:r>
          </w:p>
        </w:tc>
        <w:tc>
          <w:tcPr>
            <w:tcW w:w="3360" w:type="dxa"/>
            <w:vMerge/>
          </w:tcPr>
          <w:p w:rsidR="00C94564" w:rsidRPr="009642ED" w:rsidRDefault="00C94564" w:rsidP="002D6C34">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2D6C34">
            <w:pPr>
              <w:spacing w:after="0" w:line="240" w:lineRule="auto"/>
              <w:ind w:right="-108"/>
              <w:rPr>
                <w:rFonts w:ascii="Times New Roman" w:hAnsi="Times New Roman"/>
                <w:bCs/>
                <w:sz w:val="23"/>
                <w:szCs w:val="23"/>
              </w:rPr>
            </w:pPr>
            <w:r w:rsidRPr="009642ED">
              <w:rPr>
                <w:rFonts w:ascii="Times New Roman" w:hAnsi="Times New Roman"/>
                <w:bCs/>
                <w:sz w:val="23"/>
                <w:szCs w:val="23"/>
              </w:rPr>
              <w:t>Valdymo informacines sistemas turinčių ir naudojančių švietimo įstaigų dalis, proc. (ŠVIS</w:t>
            </w:r>
            <w:r w:rsidRPr="009642ED">
              <w:rPr>
                <w:rFonts w:ascii="Times New Roman" w:hAnsi="Times New Roman"/>
                <w:sz w:val="23"/>
                <w:szCs w:val="23"/>
              </w:rPr>
              <w:t xml:space="preserve"> – Švietimo valdymo informacinė sistema</w:t>
            </w:r>
            <w:r w:rsidRPr="009642ED">
              <w:rPr>
                <w:rFonts w:ascii="Times New Roman" w:hAnsi="Times New Roman"/>
                <w:bCs/>
                <w:sz w:val="23"/>
                <w:szCs w:val="23"/>
              </w:rPr>
              <w:t>)</w:t>
            </w:r>
          </w:p>
        </w:tc>
        <w:tc>
          <w:tcPr>
            <w:tcW w:w="121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nėra duomenų</w:t>
            </w:r>
          </w:p>
        </w:tc>
        <w:tc>
          <w:tcPr>
            <w:tcW w:w="1210" w:type="dxa"/>
          </w:tcPr>
          <w:p w:rsidR="00C94564" w:rsidRPr="009642ED" w:rsidRDefault="00C94564" w:rsidP="00041649">
            <w:pPr>
              <w:spacing w:after="0" w:line="240" w:lineRule="auto"/>
              <w:jc w:val="center"/>
              <w:rPr>
                <w:rFonts w:ascii="Times New Roman" w:hAnsi="Times New Roman"/>
                <w:sz w:val="23"/>
                <w:szCs w:val="23"/>
              </w:rPr>
            </w:pPr>
            <w:r w:rsidRPr="009642ED">
              <w:rPr>
                <w:rFonts w:ascii="Times New Roman" w:hAnsi="Times New Roman"/>
                <w:sz w:val="23"/>
                <w:szCs w:val="23"/>
              </w:rPr>
              <w:t>80</w:t>
            </w:r>
          </w:p>
        </w:tc>
        <w:tc>
          <w:tcPr>
            <w:tcW w:w="1281" w:type="dxa"/>
          </w:tcPr>
          <w:p w:rsidR="00C94564" w:rsidRPr="009642ED" w:rsidRDefault="00C94564" w:rsidP="00041649">
            <w:pPr>
              <w:spacing w:after="0" w:line="240" w:lineRule="auto"/>
              <w:jc w:val="center"/>
              <w:rPr>
                <w:rFonts w:ascii="Times New Roman" w:hAnsi="Times New Roman"/>
                <w:sz w:val="23"/>
                <w:szCs w:val="23"/>
              </w:rPr>
            </w:pPr>
            <w:r w:rsidRPr="009642ED">
              <w:rPr>
                <w:rFonts w:ascii="Times New Roman" w:hAnsi="Times New Roman"/>
                <w:sz w:val="23"/>
                <w:szCs w:val="23"/>
              </w:rPr>
              <w:t>100</w:t>
            </w:r>
          </w:p>
        </w:tc>
      </w:tr>
      <w:tr w:rsidR="00C94564" w:rsidRPr="009642ED">
        <w:trPr>
          <w:cantSplit/>
          <w:trHeight w:val="154"/>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24</w:t>
            </w:r>
          </w:p>
        </w:tc>
        <w:tc>
          <w:tcPr>
            <w:tcW w:w="3360" w:type="dxa"/>
            <w:vMerge/>
          </w:tcPr>
          <w:p w:rsidR="00C94564" w:rsidRPr="009642ED" w:rsidRDefault="00C94564" w:rsidP="00915DC3">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sz w:val="23"/>
                <w:szCs w:val="23"/>
              </w:rPr>
              <w:t>Iš privačių šaltinių gautos lėšos švietimo įstaigoms kaip švietimo biudžeto dalis, proc. (Europos Sąjungos statistikos tarnyba „Eurostat“)</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11</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(2009)</w:t>
            </w:r>
          </w:p>
        </w:tc>
        <w:tc>
          <w:tcPr>
            <w:tcW w:w="1210" w:type="dxa"/>
          </w:tcPr>
          <w:p w:rsidR="00C94564" w:rsidRPr="009642ED" w:rsidRDefault="00C94564" w:rsidP="00BC5718">
            <w:pPr>
              <w:spacing w:after="0" w:line="240" w:lineRule="auto"/>
              <w:jc w:val="center"/>
              <w:rPr>
                <w:rFonts w:ascii="Times New Roman" w:hAnsi="Times New Roman"/>
                <w:sz w:val="23"/>
                <w:szCs w:val="23"/>
              </w:rPr>
            </w:pPr>
            <w:r w:rsidRPr="009642ED">
              <w:rPr>
                <w:rFonts w:ascii="Times New Roman" w:hAnsi="Times New Roman"/>
                <w:sz w:val="23"/>
                <w:szCs w:val="23"/>
              </w:rPr>
              <w:t>12,5</w:t>
            </w:r>
          </w:p>
        </w:tc>
        <w:tc>
          <w:tcPr>
            <w:tcW w:w="1281"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14</w:t>
            </w:r>
          </w:p>
        </w:tc>
      </w:tr>
      <w:tr w:rsidR="00C94564" w:rsidRPr="009642ED">
        <w:trPr>
          <w:cantSplit/>
          <w:trHeight w:val="154"/>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25</w:t>
            </w:r>
          </w:p>
        </w:tc>
        <w:tc>
          <w:tcPr>
            <w:tcW w:w="3360" w:type="dxa"/>
            <w:vMerge/>
          </w:tcPr>
          <w:p w:rsidR="00C94564" w:rsidRPr="009642ED" w:rsidRDefault="00C94564" w:rsidP="0056336F">
            <w:pPr>
              <w:spacing w:line="240" w:lineRule="auto"/>
              <w:rPr>
                <w:rFonts w:ascii="Times New Roman" w:hAnsi="Times New Roman"/>
                <w:b/>
                <w:sz w:val="23"/>
                <w:szCs w:val="23"/>
              </w:rPr>
            </w:pPr>
          </w:p>
        </w:tc>
        <w:tc>
          <w:tcPr>
            <w:tcW w:w="7370" w:type="dxa"/>
          </w:tcPr>
          <w:p w:rsidR="00C94564" w:rsidRPr="009642ED" w:rsidRDefault="00C94564" w:rsidP="0056336F">
            <w:pPr>
              <w:spacing w:after="0" w:line="240" w:lineRule="auto"/>
              <w:rPr>
                <w:rFonts w:ascii="Times New Roman" w:hAnsi="Times New Roman"/>
                <w:sz w:val="23"/>
                <w:szCs w:val="23"/>
              </w:rPr>
            </w:pPr>
            <w:r w:rsidRPr="009642ED">
              <w:rPr>
                <w:rFonts w:ascii="Times New Roman" w:hAnsi="Times New Roman"/>
                <w:color w:val="000000"/>
                <w:sz w:val="23"/>
                <w:szCs w:val="23"/>
              </w:rPr>
              <w:t>Privačios išlaidos švietimui kaip BVP dalis, proc.(</w:t>
            </w:r>
            <w:r w:rsidRPr="009642ED">
              <w:rPr>
                <w:rFonts w:ascii="Times New Roman" w:hAnsi="Times New Roman"/>
                <w:sz w:val="23"/>
                <w:szCs w:val="23"/>
              </w:rPr>
              <w:t>Europos Sąjungos statistikos tarnyba „Eurostat“</w:t>
            </w:r>
            <w:r w:rsidRPr="009642ED">
              <w:rPr>
                <w:rFonts w:ascii="Times New Roman" w:hAnsi="Times New Roman"/>
                <w:color w:val="000000"/>
                <w:sz w:val="23"/>
                <w:szCs w:val="23"/>
              </w:rPr>
              <w:t>)</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0,66</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(2009)</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0,7</w:t>
            </w:r>
          </w:p>
        </w:tc>
        <w:tc>
          <w:tcPr>
            <w:tcW w:w="1281"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0,8</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26</w:t>
            </w:r>
          </w:p>
        </w:tc>
        <w:tc>
          <w:tcPr>
            <w:tcW w:w="3360" w:type="dxa"/>
            <w:vMerge w:val="restart"/>
          </w:tcPr>
          <w:p w:rsidR="00C94564" w:rsidRPr="009642ED" w:rsidRDefault="00C94564" w:rsidP="00915DC3">
            <w:pPr>
              <w:numPr>
                <w:ilvl w:val="0"/>
                <w:numId w:val="3"/>
              </w:numPr>
              <w:tabs>
                <w:tab w:val="clear" w:pos="0"/>
                <w:tab w:val="num" w:pos="229"/>
              </w:tabs>
              <w:spacing w:after="0" w:line="240" w:lineRule="auto"/>
              <w:rPr>
                <w:rFonts w:ascii="Times New Roman" w:hAnsi="Times New Roman"/>
                <w:sz w:val="23"/>
                <w:szCs w:val="23"/>
                <w:lang w:eastAsia="lt-LT"/>
              </w:rPr>
            </w:pPr>
            <w:r w:rsidRPr="009642ED">
              <w:rPr>
                <w:rFonts w:ascii="Times New Roman" w:hAnsi="Times New Roman"/>
                <w:sz w:val="23"/>
                <w:szCs w:val="23"/>
              </w:rPr>
              <w:t>Maksimaliai plėtojant vaikų ir jaunimo neformaliojo švietimo aprėptį, suteikti mokiniams bei studentams palankiausias galimybes išskleisti individualius gebėjimus ir tenkinti specialiuosius ugdymosi poreikius</w:t>
            </w:r>
          </w:p>
          <w:p w:rsidR="00C94564" w:rsidRPr="009642ED" w:rsidRDefault="00C94564" w:rsidP="0056336F">
            <w:pPr>
              <w:spacing w:after="0" w:line="240" w:lineRule="auto"/>
              <w:rPr>
                <w:rFonts w:ascii="Times New Roman" w:hAnsi="Times New Roman"/>
                <w:sz w:val="23"/>
                <w:szCs w:val="23"/>
              </w:rPr>
            </w:pPr>
          </w:p>
          <w:p w:rsidR="00C94564" w:rsidRPr="009642ED" w:rsidRDefault="00C94564" w:rsidP="0056336F">
            <w:pPr>
              <w:spacing w:after="0" w:line="240" w:lineRule="auto"/>
              <w:rPr>
                <w:rFonts w:ascii="Times New Roman" w:hAnsi="Times New Roman"/>
                <w:sz w:val="23"/>
                <w:szCs w:val="23"/>
              </w:rPr>
            </w:pPr>
          </w:p>
          <w:p w:rsidR="00C94564" w:rsidRPr="009642ED" w:rsidRDefault="00C94564" w:rsidP="0056336F">
            <w:pPr>
              <w:spacing w:after="0" w:line="240" w:lineRule="auto"/>
              <w:rPr>
                <w:rFonts w:ascii="Times New Roman" w:hAnsi="Times New Roman"/>
                <w:sz w:val="23"/>
                <w:szCs w:val="23"/>
                <w:lang w:eastAsia="lt-LT"/>
              </w:rPr>
            </w:pPr>
          </w:p>
        </w:tc>
        <w:tc>
          <w:tcPr>
            <w:tcW w:w="7370" w:type="dxa"/>
            <w:shd w:val="clear" w:color="auto" w:fill="FFFFFF"/>
          </w:tcPr>
          <w:p w:rsidR="00C94564" w:rsidRPr="009642ED" w:rsidRDefault="00C94564" w:rsidP="0056336F">
            <w:pPr>
              <w:spacing w:after="0" w:line="240" w:lineRule="auto"/>
              <w:ind w:right="-108"/>
              <w:rPr>
                <w:rFonts w:ascii="Times New Roman" w:hAnsi="Times New Roman"/>
                <w:sz w:val="23"/>
                <w:szCs w:val="23"/>
              </w:rPr>
            </w:pPr>
            <w:r w:rsidRPr="009642ED">
              <w:rPr>
                <w:rFonts w:ascii="Times New Roman" w:hAnsi="Times New Roman"/>
                <w:sz w:val="23"/>
                <w:szCs w:val="23"/>
              </w:rPr>
              <w:t xml:space="preserve">Ikimokyklinio ugdymo (0 lygmuo) bruto mokymosi aprėptis, proc. (Lietuvos statistikos departamentas) </w:t>
            </w:r>
          </w:p>
        </w:tc>
        <w:tc>
          <w:tcPr>
            <w:tcW w:w="1210" w:type="dxa"/>
            <w:shd w:val="clear" w:color="auto" w:fill="FFFFFF"/>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72,4 (2011)</w:t>
            </w:r>
          </w:p>
        </w:tc>
        <w:tc>
          <w:tcPr>
            <w:tcW w:w="1210" w:type="dxa"/>
            <w:shd w:val="clear" w:color="auto" w:fill="FFFFFF"/>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80</w:t>
            </w:r>
          </w:p>
        </w:tc>
        <w:tc>
          <w:tcPr>
            <w:tcW w:w="1281" w:type="dxa"/>
            <w:shd w:val="clear" w:color="auto" w:fill="FFFFFF"/>
          </w:tcPr>
          <w:p w:rsidR="00C94564" w:rsidRPr="009642ED" w:rsidRDefault="00C94564" w:rsidP="0056336F">
            <w:pPr>
              <w:spacing w:after="0" w:line="240" w:lineRule="auto"/>
              <w:ind w:right="-57"/>
              <w:jc w:val="center"/>
              <w:rPr>
                <w:rFonts w:ascii="Times New Roman" w:hAnsi="Times New Roman"/>
                <w:sz w:val="23"/>
                <w:szCs w:val="23"/>
              </w:rPr>
            </w:pPr>
            <w:r w:rsidRPr="009642ED">
              <w:rPr>
                <w:rFonts w:ascii="Times New Roman" w:hAnsi="Times New Roman"/>
                <w:sz w:val="23"/>
                <w:szCs w:val="23"/>
              </w:rPr>
              <w:t>90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27</w:t>
            </w:r>
          </w:p>
        </w:tc>
        <w:tc>
          <w:tcPr>
            <w:tcW w:w="3360" w:type="dxa"/>
            <w:vMerge/>
          </w:tcPr>
          <w:p w:rsidR="00C94564" w:rsidRPr="009642ED" w:rsidRDefault="00C94564" w:rsidP="00915DC3">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56336F">
            <w:pPr>
              <w:spacing w:after="0" w:line="240" w:lineRule="auto"/>
              <w:ind w:right="-85"/>
              <w:rPr>
                <w:rFonts w:ascii="Times New Roman" w:hAnsi="Times New Roman"/>
                <w:sz w:val="23"/>
                <w:szCs w:val="23"/>
              </w:rPr>
            </w:pPr>
            <w:r w:rsidRPr="009642ED">
              <w:rPr>
                <w:rFonts w:ascii="Times New Roman" w:hAnsi="Times New Roman"/>
                <w:sz w:val="23"/>
                <w:szCs w:val="23"/>
              </w:rPr>
              <w:t>Švietimo įstaigas lankančių 4–6 metų vaikų dalis, proc. (Europos Sąjungos statistikos tarnyba „Eurostat“)</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78,3</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(2010)</w:t>
            </w:r>
          </w:p>
        </w:tc>
        <w:tc>
          <w:tcPr>
            <w:tcW w:w="1210"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85</w:t>
            </w:r>
          </w:p>
        </w:tc>
        <w:tc>
          <w:tcPr>
            <w:tcW w:w="1281" w:type="dxa"/>
            <w:shd w:val="clear" w:color="auto" w:fill="FFFFFF"/>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95</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28</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Neformaliojo švietimo paslaugomis mokykloje ir kitur pasinaudojančių vaikų dalis, proc. (ŠVIS – Švietimo valdymo informacinė sistema)</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 xml:space="preserve">≈25 </w:t>
            </w:r>
          </w:p>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(2010 eksp.)</w:t>
            </w:r>
          </w:p>
        </w:tc>
        <w:tc>
          <w:tcPr>
            <w:tcW w:w="1210" w:type="dxa"/>
            <w:shd w:val="clear" w:color="auto" w:fill="FFFFFF"/>
          </w:tcPr>
          <w:p w:rsidR="00C94564" w:rsidRPr="006D2E61" w:rsidRDefault="00C94564" w:rsidP="00BF460A">
            <w:pPr>
              <w:spacing w:after="0" w:line="240" w:lineRule="auto"/>
              <w:ind w:right="-57"/>
              <w:jc w:val="center"/>
              <w:rPr>
                <w:rFonts w:ascii="Times New Roman" w:hAnsi="Times New Roman"/>
                <w:sz w:val="23"/>
                <w:szCs w:val="23"/>
                <w:vertAlign w:val="superscript"/>
              </w:rPr>
            </w:pPr>
            <w:r w:rsidRPr="009642ED">
              <w:rPr>
                <w:rFonts w:ascii="Times New Roman" w:hAnsi="Times New Roman"/>
                <w:sz w:val="23"/>
                <w:szCs w:val="23"/>
              </w:rPr>
              <w:t>60</w:t>
            </w:r>
            <w:r>
              <w:rPr>
                <w:rFonts w:ascii="Times New Roman" w:hAnsi="Times New Roman"/>
                <w:sz w:val="23"/>
                <w:szCs w:val="23"/>
                <w:vertAlign w:val="superscript"/>
              </w:rPr>
              <w:t>2</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100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29</w:t>
            </w:r>
          </w:p>
        </w:tc>
        <w:tc>
          <w:tcPr>
            <w:tcW w:w="3360" w:type="dxa"/>
            <w:vMerge/>
          </w:tcPr>
          <w:p w:rsidR="00C94564" w:rsidRPr="009642ED" w:rsidRDefault="00C94564" w:rsidP="00BF460A">
            <w:pPr>
              <w:spacing w:after="0" w:line="240" w:lineRule="auto"/>
              <w:rPr>
                <w:rFonts w:ascii="Times New Roman" w:hAnsi="Times New Roman"/>
                <w:sz w:val="23"/>
                <w:szCs w:val="23"/>
                <w:lang w:eastAsia="lt-LT"/>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Neformaliojo švietimo krepšelio ir formaliojo švietimo krepšelio dydžio santykis, proc. (Lietuvos Respublikos švietimo ir mokslo ministerija)</w:t>
            </w:r>
          </w:p>
        </w:tc>
        <w:tc>
          <w:tcPr>
            <w:tcW w:w="1210" w:type="dxa"/>
            <w:shd w:val="clear" w:color="auto" w:fill="FFFFFF"/>
          </w:tcPr>
          <w:p w:rsidR="00C94564" w:rsidRPr="006D2E61" w:rsidRDefault="00C94564" w:rsidP="00BF460A">
            <w:pPr>
              <w:spacing w:after="0" w:line="240" w:lineRule="auto"/>
              <w:ind w:right="-57"/>
              <w:jc w:val="center"/>
              <w:rPr>
                <w:rFonts w:ascii="Times New Roman" w:hAnsi="Times New Roman"/>
                <w:sz w:val="23"/>
                <w:szCs w:val="23"/>
                <w:vertAlign w:val="superscript"/>
              </w:rPr>
            </w:pPr>
            <w:r w:rsidRPr="009642ED">
              <w:rPr>
                <w:rFonts w:ascii="Times New Roman" w:hAnsi="Times New Roman"/>
                <w:sz w:val="23"/>
                <w:szCs w:val="23"/>
              </w:rPr>
              <w:t>30</w:t>
            </w:r>
            <w:r>
              <w:rPr>
                <w:rFonts w:ascii="Times New Roman" w:hAnsi="Times New Roman"/>
                <w:sz w:val="23"/>
                <w:szCs w:val="23"/>
                <w:vertAlign w:val="superscript"/>
              </w:rPr>
              <w:t>3</w:t>
            </w:r>
          </w:p>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(2012)</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lang w:val="en-US"/>
              </w:rPr>
            </w:pPr>
            <w:r w:rsidRPr="009642ED">
              <w:rPr>
                <w:rFonts w:ascii="Times New Roman" w:hAnsi="Times New Roman"/>
                <w:sz w:val="23"/>
                <w:szCs w:val="23"/>
              </w:rPr>
              <w:t>40</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60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30</w:t>
            </w:r>
          </w:p>
        </w:tc>
        <w:tc>
          <w:tcPr>
            <w:tcW w:w="3360" w:type="dxa"/>
            <w:vMerge/>
          </w:tcPr>
          <w:p w:rsidR="00C94564" w:rsidRPr="009642ED" w:rsidRDefault="00C94564" w:rsidP="00BF460A">
            <w:pPr>
              <w:spacing w:after="0" w:line="240" w:lineRule="auto"/>
              <w:rPr>
                <w:rFonts w:ascii="Times New Roman" w:hAnsi="Times New Roman"/>
                <w:sz w:val="23"/>
                <w:szCs w:val="23"/>
                <w:lang w:eastAsia="lt-LT"/>
              </w:rPr>
            </w:pPr>
          </w:p>
        </w:tc>
        <w:tc>
          <w:tcPr>
            <w:tcW w:w="7370" w:type="dxa"/>
            <w:shd w:val="clear" w:color="auto" w:fill="FFFFFF"/>
          </w:tcPr>
          <w:p w:rsidR="00C94564" w:rsidRPr="009642ED" w:rsidRDefault="00C94564" w:rsidP="00BF460A">
            <w:pPr>
              <w:spacing w:after="0" w:line="240" w:lineRule="auto"/>
              <w:ind w:right="-108"/>
              <w:rPr>
                <w:rFonts w:ascii="Times New Roman" w:hAnsi="Times New Roman"/>
                <w:sz w:val="23"/>
                <w:szCs w:val="23"/>
              </w:rPr>
            </w:pPr>
            <w:r w:rsidRPr="009642ED">
              <w:rPr>
                <w:rFonts w:ascii="Times New Roman" w:hAnsi="Times New Roman"/>
                <w:sz w:val="23"/>
                <w:szCs w:val="23"/>
              </w:rPr>
              <w:t>Vidutinis neformaliojo švietimo valandų skaičius vienam mokiniui arba studentui per savaitę (ŠVIS – Švietimo valdymo informacinė sistema)</w:t>
            </w:r>
          </w:p>
        </w:tc>
        <w:tc>
          <w:tcPr>
            <w:tcW w:w="1210"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nėra duomenų</w:t>
            </w:r>
          </w:p>
        </w:tc>
        <w:tc>
          <w:tcPr>
            <w:tcW w:w="1210" w:type="dxa"/>
            <w:shd w:val="clear" w:color="auto" w:fill="FFFFFF"/>
          </w:tcPr>
          <w:p w:rsidR="00C94564" w:rsidRPr="006D2E61" w:rsidRDefault="00C94564" w:rsidP="00BF460A">
            <w:pPr>
              <w:spacing w:after="0" w:line="240" w:lineRule="auto"/>
              <w:ind w:right="-57"/>
              <w:jc w:val="center"/>
              <w:rPr>
                <w:rFonts w:ascii="Times New Roman" w:hAnsi="Times New Roman"/>
                <w:sz w:val="23"/>
                <w:szCs w:val="23"/>
                <w:vertAlign w:val="superscript"/>
              </w:rPr>
            </w:pPr>
            <w:r w:rsidRPr="009642ED">
              <w:rPr>
                <w:rFonts w:ascii="Times New Roman" w:hAnsi="Times New Roman"/>
                <w:sz w:val="23"/>
                <w:szCs w:val="23"/>
              </w:rPr>
              <w:t>3</w:t>
            </w:r>
            <w:r>
              <w:rPr>
                <w:rFonts w:ascii="Times New Roman" w:hAnsi="Times New Roman"/>
                <w:sz w:val="23"/>
                <w:szCs w:val="23"/>
                <w:vertAlign w:val="superscript"/>
              </w:rPr>
              <w:t>4</w:t>
            </w:r>
          </w:p>
        </w:tc>
        <w:tc>
          <w:tcPr>
            <w:tcW w:w="1281" w:type="dxa"/>
            <w:shd w:val="clear" w:color="auto" w:fill="FFFFFF"/>
          </w:tcPr>
          <w:p w:rsidR="00C94564" w:rsidRPr="009642ED" w:rsidRDefault="00C94564" w:rsidP="00BF460A">
            <w:pPr>
              <w:spacing w:after="0" w:line="240" w:lineRule="auto"/>
              <w:ind w:right="-57"/>
              <w:jc w:val="center"/>
              <w:rPr>
                <w:rFonts w:ascii="Times New Roman" w:hAnsi="Times New Roman"/>
                <w:sz w:val="23"/>
                <w:szCs w:val="23"/>
              </w:rPr>
            </w:pPr>
            <w:r w:rsidRPr="009642ED">
              <w:rPr>
                <w:rFonts w:ascii="Times New Roman" w:hAnsi="Times New Roman"/>
                <w:sz w:val="23"/>
                <w:szCs w:val="23"/>
              </w:rPr>
              <w:t>5</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31</w:t>
            </w:r>
          </w:p>
        </w:tc>
        <w:tc>
          <w:tcPr>
            <w:tcW w:w="3360" w:type="dxa"/>
            <w:vMerge/>
          </w:tcPr>
          <w:p w:rsidR="00C94564" w:rsidRPr="009642ED" w:rsidRDefault="00C94564" w:rsidP="00BF460A">
            <w:pPr>
              <w:numPr>
                <w:ilvl w:val="1"/>
                <w:numId w:val="3"/>
              </w:numPr>
              <w:tabs>
                <w:tab w:val="clear" w:pos="0"/>
                <w:tab w:val="num" w:pos="449"/>
              </w:tabs>
              <w:spacing w:after="0" w:line="240" w:lineRule="auto"/>
              <w:rPr>
                <w:rFonts w:ascii="Times New Roman" w:hAnsi="Times New Roman"/>
                <w:sz w:val="23"/>
                <w:szCs w:val="23"/>
              </w:rPr>
            </w:pPr>
          </w:p>
        </w:tc>
        <w:tc>
          <w:tcPr>
            <w:tcW w:w="7370" w:type="dxa"/>
            <w:shd w:val="clear" w:color="auto" w:fill="FFFFFF"/>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 xml:space="preserve">Specialiosiose mokyklose besimokančių vaikų dalis, proc. (Europos Sąjungos statistikos tarnyba „Eurostat“) </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1,2</w:t>
            </w:r>
          </w:p>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(2009)</w:t>
            </w:r>
          </w:p>
        </w:tc>
        <w:tc>
          <w:tcPr>
            <w:tcW w:w="1210"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0,8</w:t>
            </w:r>
          </w:p>
        </w:tc>
        <w:tc>
          <w:tcPr>
            <w:tcW w:w="1281" w:type="dxa"/>
            <w:shd w:val="clear" w:color="auto" w:fill="FFFFFF"/>
          </w:tcPr>
          <w:p w:rsidR="00C94564" w:rsidRPr="009642ED" w:rsidRDefault="00C94564" w:rsidP="00BF460A">
            <w:pPr>
              <w:spacing w:after="0" w:line="240" w:lineRule="auto"/>
              <w:jc w:val="center"/>
              <w:rPr>
                <w:rFonts w:ascii="Times New Roman" w:hAnsi="Times New Roman"/>
                <w:sz w:val="23"/>
                <w:szCs w:val="23"/>
              </w:rPr>
            </w:pPr>
            <w:r w:rsidRPr="009642ED">
              <w:rPr>
                <w:rFonts w:ascii="Times New Roman" w:hAnsi="Times New Roman"/>
                <w:sz w:val="23"/>
                <w:szCs w:val="23"/>
              </w:rPr>
              <w:t>0,5</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32</w:t>
            </w:r>
          </w:p>
        </w:tc>
        <w:tc>
          <w:tcPr>
            <w:tcW w:w="3360" w:type="dxa"/>
            <w:vMerge/>
          </w:tcPr>
          <w:p w:rsidR="00C94564" w:rsidRPr="009642ED" w:rsidRDefault="00C94564" w:rsidP="00066C00">
            <w:pPr>
              <w:spacing w:after="0" w:line="240" w:lineRule="auto"/>
              <w:rPr>
                <w:rFonts w:ascii="Times New Roman" w:hAnsi="Times New Roman"/>
                <w:sz w:val="23"/>
                <w:szCs w:val="23"/>
              </w:rPr>
            </w:pPr>
          </w:p>
        </w:tc>
        <w:tc>
          <w:tcPr>
            <w:tcW w:w="7370" w:type="dxa"/>
          </w:tcPr>
          <w:p w:rsidR="00C94564" w:rsidRPr="009642ED" w:rsidRDefault="00C94564" w:rsidP="002D6C34">
            <w:pPr>
              <w:spacing w:after="0" w:line="240" w:lineRule="auto"/>
              <w:ind w:right="-108"/>
              <w:rPr>
                <w:rFonts w:ascii="Times New Roman" w:hAnsi="Times New Roman"/>
                <w:sz w:val="23"/>
                <w:szCs w:val="23"/>
              </w:rPr>
            </w:pPr>
            <w:r w:rsidRPr="009642ED">
              <w:rPr>
                <w:rFonts w:ascii="Times New Roman" w:hAnsi="Times New Roman"/>
                <w:sz w:val="23"/>
                <w:szCs w:val="23"/>
              </w:rPr>
              <w:t>Visuomenės dalis, mananti, kad vaizduotė yra viena iš svarbiausių savybių, kurią vaikas turi įgyti namie, proc. (Europos vertybių tyrimas)</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 xml:space="preserve">6 </w:t>
            </w:r>
          </w:p>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(2008)</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10</w:t>
            </w:r>
          </w:p>
        </w:tc>
        <w:tc>
          <w:tcPr>
            <w:tcW w:w="1281"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20</w:t>
            </w:r>
          </w:p>
        </w:tc>
      </w:tr>
      <w:tr w:rsidR="00C94564" w:rsidRPr="009642ED">
        <w:trPr>
          <w:cantSplit/>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33</w:t>
            </w:r>
          </w:p>
        </w:tc>
        <w:tc>
          <w:tcPr>
            <w:tcW w:w="3360" w:type="dxa"/>
            <w:vMerge w:val="restart"/>
          </w:tcPr>
          <w:p w:rsidR="00C94564" w:rsidRPr="009642ED" w:rsidRDefault="00C94564" w:rsidP="008A250D">
            <w:pPr>
              <w:numPr>
                <w:ilvl w:val="0"/>
                <w:numId w:val="3"/>
              </w:numPr>
              <w:tabs>
                <w:tab w:val="clear" w:pos="0"/>
                <w:tab w:val="num" w:pos="229"/>
              </w:tabs>
              <w:spacing w:after="0" w:line="240" w:lineRule="auto"/>
              <w:rPr>
                <w:rFonts w:ascii="Times New Roman" w:hAnsi="Times New Roman"/>
                <w:iCs/>
                <w:sz w:val="23"/>
                <w:szCs w:val="23"/>
              </w:rPr>
            </w:pPr>
            <w:r w:rsidRPr="009642ED">
              <w:rPr>
                <w:rFonts w:ascii="Times New Roman" w:hAnsi="Times New Roman"/>
                <w:sz w:val="23"/>
                <w:szCs w:val="23"/>
              </w:rPr>
              <w:t>Sukurti paskatų ir sąlygų mokytis visą gyvenimą sistemą, grįstą veiksnia pagalba atpažįstant save ir renkantis kelią veiklos pasaulyje</w:t>
            </w:r>
          </w:p>
        </w:tc>
        <w:tc>
          <w:tcPr>
            <w:tcW w:w="7370" w:type="dxa"/>
          </w:tcPr>
          <w:p w:rsidR="00C94564" w:rsidRPr="009642ED" w:rsidRDefault="00C94564" w:rsidP="0056336F">
            <w:pPr>
              <w:spacing w:after="0" w:line="240" w:lineRule="auto"/>
              <w:ind w:right="-108"/>
              <w:rPr>
                <w:rFonts w:ascii="Times New Roman" w:hAnsi="Times New Roman"/>
                <w:sz w:val="23"/>
                <w:szCs w:val="23"/>
              </w:rPr>
            </w:pPr>
            <w:r w:rsidRPr="009642ED">
              <w:rPr>
                <w:rFonts w:ascii="Times New Roman" w:hAnsi="Times New Roman"/>
                <w:sz w:val="23"/>
                <w:szCs w:val="23"/>
              </w:rPr>
              <w:t xml:space="preserve">Mokymosi visą gyvenimą lygis 25–64 metų amžiaus grupėje, proc. (Lietuvos statistikos departamentas) </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 xml:space="preserve">5,9 </w:t>
            </w:r>
          </w:p>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8</w:t>
            </w:r>
          </w:p>
        </w:tc>
        <w:tc>
          <w:tcPr>
            <w:tcW w:w="1281"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12</w:t>
            </w:r>
          </w:p>
        </w:tc>
      </w:tr>
      <w:tr w:rsidR="00C94564" w:rsidRPr="009642ED">
        <w:trPr>
          <w:cantSplit/>
          <w:trHeight w:val="70"/>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34</w:t>
            </w:r>
          </w:p>
        </w:tc>
        <w:tc>
          <w:tcPr>
            <w:tcW w:w="3360" w:type="dxa"/>
            <w:vMerge/>
          </w:tcPr>
          <w:p w:rsidR="00C94564" w:rsidRPr="009642ED" w:rsidRDefault="00C94564" w:rsidP="00915DC3">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56336F">
            <w:pPr>
              <w:spacing w:after="0" w:line="240" w:lineRule="auto"/>
              <w:ind w:right="-108"/>
              <w:rPr>
                <w:rFonts w:ascii="Times New Roman" w:hAnsi="Times New Roman"/>
                <w:sz w:val="23"/>
                <w:szCs w:val="23"/>
              </w:rPr>
            </w:pPr>
            <w:r w:rsidRPr="009642ED">
              <w:rPr>
                <w:rFonts w:ascii="Times New Roman" w:hAnsi="Times New Roman"/>
                <w:sz w:val="23"/>
                <w:szCs w:val="23"/>
                <w:lang w:eastAsia="lt-LT"/>
              </w:rPr>
              <w:t xml:space="preserve">18–24 metų asmenų be vidurinio išsilavinimo ir nelankančių mokyklos dalis (10 metų vidurkis), proc. (Lietuvos statistikos departamentas) </w:t>
            </w:r>
            <w:r w:rsidRPr="009642ED">
              <w:rPr>
                <w:rFonts w:ascii="Times New Roman" w:hAnsi="Times New Roman"/>
                <w:sz w:val="23"/>
                <w:szCs w:val="23"/>
              </w:rPr>
              <w:t xml:space="preserve">(Lietuvos statistikos departamentas) </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 xml:space="preserve">9,1 </w:t>
            </w:r>
          </w:p>
          <w:p w:rsidR="00C94564" w:rsidRPr="009642ED" w:rsidRDefault="00C94564" w:rsidP="00BC54FE">
            <w:pPr>
              <w:spacing w:after="0" w:line="240" w:lineRule="auto"/>
              <w:ind w:left="-108" w:right="-108"/>
              <w:jc w:val="center"/>
              <w:rPr>
                <w:rFonts w:ascii="Times New Roman" w:hAnsi="Times New Roman"/>
                <w:sz w:val="23"/>
                <w:szCs w:val="23"/>
              </w:rPr>
            </w:pPr>
            <w:r w:rsidRPr="009642ED">
              <w:rPr>
                <w:rFonts w:ascii="Times New Roman" w:hAnsi="Times New Roman"/>
                <w:sz w:val="23"/>
                <w:szCs w:val="23"/>
              </w:rPr>
              <w:t>(2002-2011)</w:t>
            </w:r>
          </w:p>
        </w:tc>
        <w:tc>
          <w:tcPr>
            <w:tcW w:w="1210"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8,9</w:t>
            </w:r>
          </w:p>
        </w:tc>
        <w:tc>
          <w:tcPr>
            <w:tcW w:w="1281" w:type="dxa"/>
          </w:tcPr>
          <w:p w:rsidR="00C94564" w:rsidRPr="009642ED" w:rsidRDefault="00C94564" w:rsidP="0056336F">
            <w:pPr>
              <w:spacing w:after="0" w:line="240" w:lineRule="auto"/>
              <w:jc w:val="center"/>
              <w:rPr>
                <w:rFonts w:ascii="Times New Roman" w:hAnsi="Times New Roman"/>
                <w:sz w:val="23"/>
                <w:szCs w:val="23"/>
              </w:rPr>
            </w:pPr>
            <w:r w:rsidRPr="009642ED">
              <w:rPr>
                <w:rFonts w:ascii="Times New Roman" w:hAnsi="Times New Roman"/>
                <w:sz w:val="23"/>
                <w:szCs w:val="23"/>
              </w:rPr>
              <w:t>8,9</w:t>
            </w:r>
          </w:p>
        </w:tc>
      </w:tr>
      <w:tr w:rsidR="00C94564" w:rsidRPr="009642ED">
        <w:trPr>
          <w:cantSplit/>
          <w:trHeight w:val="262"/>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35</w:t>
            </w:r>
          </w:p>
        </w:tc>
        <w:tc>
          <w:tcPr>
            <w:tcW w:w="3360" w:type="dxa"/>
            <w:vMerge/>
          </w:tcPr>
          <w:p w:rsidR="00C94564" w:rsidRPr="009642ED" w:rsidRDefault="00C94564" w:rsidP="002D6C34">
            <w:pPr>
              <w:numPr>
                <w:ilvl w:val="0"/>
                <w:numId w:val="3"/>
              </w:numPr>
              <w:tabs>
                <w:tab w:val="clear" w:pos="0"/>
                <w:tab w:val="num" w:pos="229"/>
              </w:tabs>
              <w:spacing w:after="0" w:line="240" w:lineRule="auto"/>
              <w:rPr>
                <w:rFonts w:ascii="Times New Roman" w:hAnsi="Times New Roman"/>
                <w:b/>
                <w:iCs/>
                <w:sz w:val="23"/>
                <w:szCs w:val="23"/>
              </w:rPr>
            </w:pPr>
          </w:p>
        </w:tc>
        <w:tc>
          <w:tcPr>
            <w:tcW w:w="7370" w:type="dxa"/>
          </w:tcPr>
          <w:p w:rsidR="00C94564" w:rsidRPr="009642ED" w:rsidRDefault="00C94564" w:rsidP="002D6C34">
            <w:pPr>
              <w:spacing w:after="0" w:line="240" w:lineRule="auto"/>
              <w:rPr>
                <w:rFonts w:ascii="Times New Roman" w:hAnsi="Times New Roman"/>
                <w:sz w:val="23"/>
                <w:szCs w:val="23"/>
              </w:rPr>
            </w:pPr>
            <w:r w:rsidRPr="009642ED">
              <w:rPr>
                <w:rFonts w:ascii="Times New Roman" w:hAnsi="Times New Roman"/>
                <w:sz w:val="23"/>
                <w:szCs w:val="23"/>
              </w:rPr>
              <w:t>25–34 metų asmenų, kurie mokosi pagal formaliojo švietimo programas, dalis, proc. (Europos Sąjungos statistikos tarnyba „Eurostat“)</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6,9 (2011)</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7,5</w:t>
            </w:r>
          </w:p>
        </w:tc>
        <w:tc>
          <w:tcPr>
            <w:tcW w:w="1281"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 xml:space="preserve">8,5 </w:t>
            </w:r>
          </w:p>
        </w:tc>
      </w:tr>
      <w:tr w:rsidR="00C94564" w:rsidRPr="009642ED">
        <w:trPr>
          <w:cantSplit/>
          <w:trHeight w:val="262"/>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36</w:t>
            </w:r>
          </w:p>
        </w:tc>
        <w:tc>
          <w:tcPr>
            <w:tcW w:w="3360" w:type="dxa"/>
            <w:vMerge/>
          </w:tcPr>
          <w:p w:rsidR="00C94564" w:rsidRPr="009642ED" w:rsidRDefault="00C94564" w:rsidP="002D6C34">
            <w:pPr>
              <w:numPr>
                <w:ilvl w:val="0"/>
                <w:numId w:val="3"/>
              </w:numPr>
              <w:tabs>
                <w:tab w:val="clear" w:pos="0"/>
                <w:tab w:val="num" w:pos="229"/>
              </w:tabs>
              <w:spacing w:after="0" w:line="240" w:lineRule="auto"/>
              <w:rPr>
                <w:rFonts w:ascii="Times New Roman" w:hAnsi="Times New Roman"/>
                <w:b/>
                <w:iCs/>
                <w:sz w:val="23"/>
                <w:szCs w:val="23"/>
              </w:rPr>
            </w:pPr>
          </w:p>
        </w:tc>
        <w:tc>
          <w:tcPr>
            <w:tcW w:w="7370" w:type="dxa"/>
          </w:tcPr>
          <w:p w:rsidR="00C94564" w:rsidRPr="009642ED" w:rsidRDefault="00C94564" w:rsidP="002D6C34">
            <w:pPr>
              <w:spacing w:after="0" w:line="240" w:lineRule="auto"/>
              <w:rPr>
                <w:rFonts w:ascii="Times New Roman" w:hAnsi="Times New Roman"/>
                <w:sz w:val="23"/>
                <w:szCs w:val="23"/>
              </w:rPr>
            </w:pPr>
            <w:r w:rsidRPr="009642ED">
              <w:rPr>
                <w:rFonts w:ascii="Times New Roman" w:hAnsi="Times New Roman"/>
                <w:sz w:val="23"/>
                <w:szCs w:val="23"/>
              </w:rPr>
              <w:t>15–24 metų asmenų nedarbo lygis, proc. (Lietuvos statistikos departamentas)</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32,9</w:t>
            </w:r>
          </w:p>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(2011)</w:t>
            </w:r>
          </w:p>
        </w:tc>
        <w:tc>
          <w:tcPr>
            <w:tcW w:w="1210"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20</w:t>
            </w:r>
          </w:p>
        </w:tc>
        <w:tc>
          <w:tcPr>
            <w:tcW w:w="1281" w:type="dxa"/>
          </w:tcPr>
          <w:p w:rsidR="00C94564" w:rsidRPr="009642ED" w:rsidRDefault="00C94564" w:rsidP="002D6C34">
            <w:pPr>
              <w:spacing w:after="0" w:line="240" w:lineRule="auto"/>
              <w:jc w:val="center"/>
              <w:rPr>
                <w:rFonts w:ascii="Times New Roman" w:hAnsi="Times New Roman"/>
                <w:sz w:val="23"/>
                <w:szCs w:val="23"/>
              </w:rPr>
            </w:pPr>
            <w:r w:rsidRPr="009642ED">
              <w:rPr>
                <w:rFonts w:ascii="Times New Roman" w:hAnsi="Times New Roman"/>
                <w:sz w:val="23"/>
                <w:szCs w:val="23"/>
              </w:rPr>
              <w:t>10</w:t>
            </w:r>
          </w:p>
        </w:tc>
      </w:tr>
      <w:tr w:rsidR="00C94564" w:rsidRPr="009642ED" w:rsidTr="0010479F">
        <w:trPr>
          <w:cantSplit/>
          <w:trHeight w:val="465"/>
        </w:trPr>
        <w:tc>
          <w:tcPr>
            <w:tcW w:w="715" w:type="dxa"/>
          </w:tcPr>
          <w:p w:rsidR="00C94564" w:rsidRPr="009642ED" w:rsidRDefault="00C94564" w:rsidP="001D54F7">
            <w:pPr>
              <w:spacing w:after="0" w:line="240" w:lineRule="auto"/>
              <w:rPr>
                <w:rFonts w:ascii="Times New Roman" w:hAnsi="Times New Roman"/>
                <w:sz w:val="23"/>
                <w:szCs w:val="23"/>
              </w:rPr>
            </w:pPr>
            <w:r w:rsidRPr="009642ED">
              <w:rPr>
                <w:rFonts w:ascii="Times New Roman" w:hAnsi="Times New Roman"/>
                <w:sz w:val="23"/>
                <w:szCs w:val="23"/>
              </w:rPr>
              <w:t>37</w:t>
            </w:r>
          </w:p>
        </w:tc>
        <w:tc>
          <w:tcPr>
            <w:tcW w:w="3360" w:type="dxa"/>
            <w:vMerge/>
          </w:tcPr>
          <w:p w:rsidR="00C94564" w:rsidRPr="009642ED" w:rsidRDefault="00C94564" w:rsidP="00915DC3">
            <w:pPr>
              <w:numPr>
                <w:ilvl w:val="1"/>
                <w:numId w:val="3"/>
              </w:numPr>
              <w:tabs>
                <w:tab w:val="clear" w:pos="0"/>
                <w:tab w:val="num" w:pos="449"/>
              </w:tabs>
              <w:spacing w:after="0" w:line="240" w:lineRule="auto"/>
              <w:rPr>
                <w:rFonts w:ascii="Times New Roman" w:hAnsi="Times New Roman"/>
                <w:sz w:val="23"/>
                <w:szCs w:val="23"/>
              </w:rPr>
            </w:pPr>
          </w:p>
        </w:tc>
        <w:tc>
          <w:tcPr>
            <w:tcW w:w="7370" w:type="dxa"/>
          </w:tcPr>
          <w:p w:rsidR="00C94564" w:rsidRPr="009642ED" w:rsidRDefault="00C94564" w:rsidP="0056336F">
            <w:pPr>
              <w:rPr>
                <w:rFonts w:ascii="Times New Roman" w:hAnsi="Times New Roman"/>
                <w:sz w:val="23"/>
                <w:szCs w:val="23"/>
              </w:rPr>
            </w:pPr>
            <w:r w:rsidRPr="009642ED">
              <w:rPr>
                <w:rFonts w:ascii="Times New Roman" w:hAnsi="Times New Roman"/>
                <w:sz w:val="23"/>
                <w:szCs w:val="23"/>
              </w:rPr>
              <w:t>Pripažintų kvalifikacijų skaičius per metus 10 000 gyventojų (ŠVIS – Švietimo valdymo informacinė sistema)</w:t>
            </w:r>
          </w:p>
        </w:tc>
        <w:tc>
          <w:tcPr>
            <w:tcW w:w="1210" w:type="dxa"/>
          </w:tcPr>
          <w:p w:rsidR="00C94564" w:rsidRPr="009642ED" w:rsidRDefault="00C94564" w:rsidP="00BF460A">
            <w:pPr>
              <w:spacing w:after="0" w:line="240" w:lineRule="auto"/>
              <w:rPr>
                <w:rFonts w:ascii="Times New Roman" w:hAnsi="Times New Roman"/>
                <w:sz w:val="23"/>
                <w:szCs w:val="23"/>
              </w:rPr>
            </w:pPr>
            <w:r w:rsidRPr="009642ED">
              <w:rPr>
                <w:rFonts w:ascii="Times New Roman" w:hAnsi="Times New Roman"/>
                <w:sz w:val="23"/>
                <w:szCs w:val="23"/>
              </w:rPr>
              <w:t>nėra duomenų</w:t>
            </w:r>
          </w:p>
        </w:tc>
        <w:tc>
          <w:tcPr>
            <w:tcW w:w="1210" w:type="dxa"/>
          </w:tcPr>
          <w:p w:rsidR="00C94564" w:rsidRPr="009642ED" w:rsidRDefault="00C94564" w:rsidP="00602DD4">
            <w:pPr>
              <w:spacing w:after="0" w:line="240" w:lineRule="auto"/>
              <w:jc w:val="center"/>
              <w:rPr>
                <w:rFonts w:ascii="Times New Roman" w:hAnsi="Times New Roman"/>
                <w:sz w:val="23"/>
                <w:szCs w:val="23"/>
              </w:rPr>
            </w:pPr>
            <w:r w:rsidRPr="009642ED">
              <w:rPr>
                <w:rFonts w:ascii="Times New Roman" w:hAnsi="Times New Roman"/>
                <w:sz w:val="23"/>
                <w:szCs w:val="23"/>
              </w:rPr>
              <w:t>5</w:t>
            </w:r>
          </w:p>
        </w:tc>
        <w:tc>
          <w:tcPr>
            <w:tcW w:w="1281" w:type="dxa"/>
          </w:tcPr>
          <w:p w:rsidR="00C94564" w:rsidRPr="009642ED" w:rsidRDefault="00C94564" w:rsidP="00602DD4">
            <w:pPr>
              <w:spacing w:after="0" w:line="240" w:lineRule="auto"/>
              <w:jc w:val="center"/>
              <w:rPr>
                <w:rFonts w:ascii="Times New Roman" w:hAnsi="Times New Roman"/>
                <w:sz w:val="23"/>
                <w:szCs w:val="23"/>
              </w:rPr>
            </w:pPr>
            <w:r w:rsidRPr="009642ED">
              <w:rPr>
                <w:rFonts w:ascii="Times New Roman" w:hAnsi="Times New Roman"/>
                <w:sz w:val="23"/>
                <w:szCs w:val="23"/>
              </w:rPr>
              <w:t>10</w:t>
            </w:r>
          </w:p>
        </w:tc>
      </w:tr>
      <w:tr w:rsidR="00C94564" w:rsidRPr="009642ED" w:rsidTr="0010479F">
        <w:trPr>
          <w:cantSplit/>
          <w:trHeight w:val="538"/>
        </w:trPr>
        <w:tc>
          <w:tcPr>
            <w:tcW w:w="715" w:type="dxa"/>
          </w:tcPr>
          <w:p w:rsidR="00C94564" w:rsidRPr="009642ED" w:rsidRDefault="00C94564" w:rsidP="001D54F7">
            <w:pPr>
              <w:rPr>
                <w:rFonts w:ascii="Times New Roman" w:hAnsi="Times New Roman"/>
                <w:sz w:val="23"/>
                <w:szCs w:val="23"/>
              </w:rPr>
            </w:pPr>
            <w:r>
              <w:rPr>
                <w:rFonts w:ascii="Times New Roman" w:hAnsi="Times New Roman"/>
                <w:sz w:val="23"/>
                <w:szCs w:val="23"/>
              </w:rPr>
              <w:t>38</w:t>
            </w:r>
          </w:p>
        </w:tc>
        <w:tc>
          <w:tcPr>
            <w:tcW w:w="3360" w:type="dxa"/>
            <w:vMerge/>
          </w:tcPr>
          <w:p w:rsidR="00C94564" w:rsidRPr="009642ED" w:rsidRDefault="00C94564" w:rsidP="008A250D">
            <w:pPr>
              <w:numPr>
                <w:ilvl w:val="0"/>
                <w:numId w:val="3"/>
              </w:numPr>
              <w:tabs>
                <w:tab w:val="clear" w:pos="0"/>
                <w:tab w:val="num" w:pos="229"/>
              </w:tabs>
              <w:rPr>
                <w:rFonts w:ascii="Times New Roman" w:hAnsi="Times New Roman"/>
                <w:sz w:val="23"/>
                <w:szCs w:val="23"/>
              </w:rPr>
            </w:pPr>
          </w:p>
        </w:tc>
        <w:tc>
          <w:tcPr>
            <w:tcW w:w="7370" w:type="dxa"/>
          </w:tcPr>
          <w:p w:rsidR="00C94564" w:rsidRDefault="00C94564" w:rsidP="0056336F">
            <w:pPr>
              <w:spacing w:after="0" w:line="240" w:lineRule="auto"/>
              <w:rPr>
                <w:rFonts w:ascii="Times New Roman" w:hAnsi="Times New Roman"/>
                <w:sz w:val="23"/>
                <w:szCs w:val="23"/>
              </w:rPr>
            </w:pPr>
            <w:r>
              <w:rPr>
                <w:rFonts w:ascii="Times New Roman" w:hAnsi="Times New Roman"/>
                <w:sz w:val="23"/>
                <w:szCs w:val="23"/>
              </w:rPr>
              <w:t>Dalyvavimas mokymesi visą gyvenimą, vieta ES valstybių sąraše (</w:t>
            </w:r>
            <w:r w:rsidRPr="009642ED">
              <w:rPr>
                <w:rFonts w:ascii="Times New Roman" w:hAnsi="Times New Roman"/>
                <w:sz w:val="23"/>
                <w:szCs w:val="23"/>
              </w:rPr>
              <w:t>Europos Sąjungos statistikos tarnyba „Eurostat“</w:t>
            </w:r>
            <w:r>
              <w:rPr>
                <w:rFonts w:ascii="Times New Roman" w:hAnsi="Times New Roman"/>
                <w:sz w:val="23"/>
                <w:szCs w:val="23"/>
              </w:rPr>
              <w:t>)</w:t>
            </w:r>
          </w:p>
          <w:p w:rsidR="00C94564" w:rsidRDefault="00C94564" w:rsidP="0056336F">
            <w:pPr>
              <w:spacing w:after="0" w:line="240" w:lineRule="auto"/>
              <w:rPr>
                <w:rFonts w:ascii="Times New Roman" w:hAnsi="Times New Roman"/>
                <w:sz w:val="23"/>
                <w:szCs w:val="23"/>
              </w:rPr>
            </w:pPr>
          </w:p>
          <w:p w:rsidR="00C94564" w:rsidRPr="009642ED" w:rsidRDefault="00C94564" w:rsidP="0056336F">
            <w:pPr>
              <w:rPr>
                <w:rFonts w:ascii="Times New Roman" w:hAnsi="Times New Roman"/>
                <w:sz w:val="23"/>
                <w:szCs w:val="23"/>
              </w:rPr>
            </w:pPr>
          </w:p>
        </w:tc>
        <w:tc>
          <w:tcPr>
            <w:tcW w:w="1210" w:type="dxa"/>
          </w:tcPr>
          <w:p w:rsidR="00C94564" w:rsidRPr="009642ED" w:rsidRDefault="00C94564" w:rsidP="00BF460A">
            <w:pPr>
              <w:rPr>
                <w:rFonts w:ascii="Times New Roman" w:hAnsi="Times New Roman"/>
                <w:sz w:val="23"/>
                <w:szCs w:val="23"/>
              </w:rPr>
            </w:pPr>
            <w:r>
              <w:rPr>
                <w:rFonts w:ascii="Times New Roman" w:hAnsi="Times New Roman"/>
                <w:sz w:val="23"/>
                <w:szCs w:val="23"/>
              </w:rPr>
              <w:t>18 (2011)</w:t>
            </w:r>
          </w:p>
        </w:tc>
        <w:tc>
          <w:tcPr>
            <w:tcW w:w="1210" w:type="dxa"/>
          </w:tcPr>
          <w:p w:rsidR="00C94564" w:rsidRPr="009642ED" w:rsidRDefault="00C94564" w:rsidP="00602DD4">
            <w:pPr>
              <w:jc w:val="center"/>
              <w:rPr>
                <w:rFonts w:ascii="Times New Roman" w:hAnsi="Times New Roman"/>
                <w:sz w:val="23"/>
                <w:szCs w:val="23"/>
              </w:rPr>
            </w:pPr>
            <w:r>
              <w:rPr>
                <w:rFonts w:ascii="Times New Roman" w:hAnsi="Times New Roman"/>
                <w:sz w:val="23"/>
                <w:szCs w:val="23"/>
              </w:rPr>
              <w:t>17</w:t>
            </w:r>
          </w:p>
        </w:tc>
        <w:tc>
          <w:tcPr>
            <w:tcW w:w="1281" w:type="dxa"/>
          </w:tcPr>
          <w:p w:rsidR="00C94564" w:rsidRPr="009642ED" w:rsidRDefault="00C94564" w:rsidP="00602DD4">
            <w:pPr>
              <w:jc w:val="center"/>
              <w:rPr>
                <w:rFonts w:ascii="Times New Roman" w:hAnsi="Times New Roman"/>
                <w:sz w:val="23"/>
                <w:szCs w:val="23"/>
              </w:rPr>
            </w:pPr>
            <w:r>
              <w:rPr>
                <w:rFonts w:ascii="Times New Roman" w:hAnsi="Times New Roman"/>
                <w:sz w:val="23"/>
                <w:szCs w:val="23"/>
              </w:rPr>
              <w:t>16</w:t>
            </w:r>
          </w:p>
        </w:tc>
      </w:tr>
    </w:tbl>
    <w:p w:rsidR="00C94564" w:rsidRPr="00DF53BE" w:rsidRDefault="00C94564" w:rsidP="00DF53BE">
      <w:pPr>
        <w:spacing w:after="0" w:line="240" w:lineRule="auto"/>
        <w:rPr>
          <w:rFonts w:ascii="Times New Roman" w:hAnsi="Times New Roman"/>
          <w:b/>
          <w:noProof/>
          <w:sz w:val="20"/>
          <w:szCs w:val="20"/>
        </w:rPr>
      </w:pPr>
      <w:r w:rsidRPr="00DF53BE">
        <w:rPr>
          <w:rFonts w:ascii="Times New Roman" w:hAnsi="Times New Roman"/>
          <w:noProof/>
          <w:sz w:val="20"/>
          <w:szCs w:val="20"/>
          <w:vertAlign w:val="superscript"/>
        </w:rPr>
        <w:t>1</w:t>
      </w:r>
      <w:r w:rsidRPr="00DF53BE">
        <w:rPr>
          <w:rFonts w:ascii="Times New Roman" w:hAnsi="Times New Roman"/>
          <w:sz w:val="20"/>
          <w:szCs w:val="20"/>
        </w:rPr>
        <w:t xml:space="preserve"> OECD (angl. „Organisation for Economic and Social Cooperation and Development“) – Ekonominio ir socialinio bendradarbiavimo ir plėtros organizacija. PISA (angl. „Programme for International Student Assessment“) – Tarptautinė moksleivių vertinimo programa.</w:t>
      </w:r>
    </w:p>
    <w:p w:rsidR="00C94564" w:rsidRPr="00DF53BE" w:rsidRDefault="00C94564" w:rsidP="00DF53BE">
      <w:pPr>
        <w:spacing w:after="0" w:line="240" w:lineRule="auto"/>
        <w:rPr>
          <w:rFonts w:ascii="Times New Roman" w:hAnsi="Times New Roman"/>
          <w:noProof/>
          <w:sz w:val="20"/>
          <w:szCs w:val="20"/>
        </w:rPr>
      </w:pPr>
      <w:r w:rsidRPr="00DF53BE">
        <w:rPr>
          <w:rFonts w:ascii="Times New Roman" w:hAnsi="Times New Roman"/>
          <w:noProof/>
          <w:sz w:val="20"/>
          <w:szCs w:val="20"/>
          <w:vertAlign w:val="superscript"/>
        </w:rPr>
        <w:t>2</w:t>
      </w:r>
      <w:r w:rsidRPr="00DF53BE">
        <w:rPr>
          <w:rFonts w:ascii="Times New Roman" w:hAnsi="Times New Roman"/>
          <w:sz w:val="20"/>
          <w:szCs w:val="20"/>
        </w:rPr>
        <w:t xml:space="preserve"> Kiekvienoje savivaldybėje ne mažiau negu 60 proc. neformaliojo švietimo paslaugomis mokykloje ir kitur pasinaudojančių vaikų dalis.</w:t>
      </w:r>
    </w:p>
    <w:p w:rsidR="00C94564" w:rsidRPr="00DF53BE" w:rsidRDefault="00C94564" w:rsidP="00DF53BE">
      <w:pPr>
        <w:spacing w:after="0" w:line="240" w:lineRule="auto"/>
        <w:rPr>
          <w:rFonts w:ascii="Times New Roman" w:hAnsi="Times New Roman"/>
          <w:noProof/>
          <w:sz w:val="20"/>
          <w:szCs w:val="20"/>
        </w:rPr>
      </w:pPr>
      <w:r w:rsidRPr="00DF53BE">
        <w:rPr>
          <w:rFonts w:ascii="Times New Roman" w:hAnsi="Times New Roman"/>
          <w:noProof/>
          <w:sz w:val="20"/>
          <w:szCs w:val="20"/>
          <w:vertAlign w:val="superscript"/>
        </w:rPr>
        <w:t>3</w:t>
      </w:r>
      <w:r w:rsidRPr="00DF53BE">
        <w:rPr>
          <w:rFonts w:ascii="Times New Roman" w:hAnsi="Times New Roman"/>
          <w:sz w:val="20"/>
          <w:szCs w:val="20"/>
        </w:rPr>
        <w:t xml:space="preserve"> Dabartinė būklė apskaičiuota pagal 2012 metų rudenį pradėtą bandomąjį neformaliojo švietimo krepšelio finansavimą keturiose Lietuvos savivaldybėse.</w:t>
      </w:r>
    </w:p>
    <w:p w:rsidR="00C94564" w:rsidRPr="00DF53BE" w:rsidRDefault="00C94564" w:rsidP="00DF53BE">
      <w:pPr>
        <w:spacing w:after="0" w:line="240" w:lineRule="auto"/>
        <w:rPr>
          <w:rFonts w:ascii="Times New Roman" w:hAnsi="Times New Roman"/>
          <w:b/>
          <w:noProof/>
          <w:sz w:val="20"/>
          <w:szCs w:val="20"/>
        </w:rPr>
      </w:pPr>
      <w:r w:rsidRPr="00DF53BE">
        <w:rPr>
          <w:rFonts w:ascii="Times New Roman" w:hAnsi="Times New Roman"/>
          <w:noProof/>
          <w:sz w:val="20"/>
          <w:szCs w:val="20"/>
          <w:vertAlign w:val="superscript"/>
        </w:rPr>
        <w:t>4</w:t>
      </w:r>
      <w:r w:rsidRPr="00DF53BE">
        <w:rPr>
          <w:rFonts w:ascii="Times New Roman" w:hAnsi="Times New Roman"/>
          <w:sz w:val="20"/>
          <w:szCs w:val="20"/>
        </w:rPr>
        <w:t xml:space="preserve"> Kiekvienoje savivaldybėje neformaliojo švietimo vienam mokiniui arba studentui vidutiniškai per savaitę ne mažiau negu 3 valandos.</w:t>
      </w:r>
    </w:p>
    <w:p w:rsidR="00C94564" w:rsidRPr="00DF53BE" w:rsidRDefault="00C94564" w:rsidP="00DF53BE">
      <w:pPr>
        <w:spacing w:line="240" w:lineRule="auto"/>
        <w:jc w:val="center"/>
        <w:rPr>
          <w:rFonts w:ascii="Times New Roman" w:hAnsi="Times New Roman"/>
          <w:b/>
          <w:noProof/>
          <w:sz w:val="20"/>
          <w:szCs w:val="20"/>
        </w:rPr>
      </w:pPr>
      <w:r w:rsidRPr="00DF53BE">
        <w:rPr>
          <w:rFonts w:ascii="Times New Roman" w:hAnsi="Times New Roman"/>
          <w:b/>
          <w:noProof/>
          <w:sz w:val="20"/>
          <w:szCs w:val="20"/>
        </w:rPr>
        <w:t>______________________________</w:t>
      </w:r>
    </w:p>
    <w:sectPr w:rsidR="00C94564" w:rsidRPr="00DF53BE" w:rsidSect="009E6836">
      <w:headerReference w:type="default" r:id="rId28"/>
      <w:pgSz w:w="16838" w:h="11906" w:orient="landscape"/>
      <w:pgMar w:top="454" w:right="822" w:bottom="340" w:left="1134" w:header="567" w:footer="272"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564" w:rsidRDefault="00C94564" w:rsidP="00E93DFD">
      <w:pPr>
        <w:spacing w:after="0" w:line="240" w:lineRule="auto"/>
      </w:pPr>
      <w:r>
        <w:separator/>
      </w:r>
    </w:p>
  </w:endnote>
  <w:endnote w:type="continuationSeparator" w:id="0">
    <w:p w:rsidR="00C94564" w:rsidRDefault="00C94564" w:rsidP="00E93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Default="00C94564" w:rsidP="00942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564" w:rsidRDefault="00C94564" w:rsidP="003758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Pr="00771AA4" w:rsidRDefault="00C94564" w:rsidP="003758BE">
    <w:pPr>
      <w:pStyle w:val="Footer"/>
      <w:ind w:right="360"/>
      <w:jc w:val="left"/>
    </w:pPr>
  </w:p>
  <w:p w:rsidR="00C94564" w:rsidRDefault="00C94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564" w:rsidRDefault="00C94564" w:rsidP="00E93DFD">
      <w:pPr>
        <w:spacing w:after="0" w:line="240" w:lineRule="auto"/>
      </w:pPr>
      <w:r>
        <w:separator/>
      </w:r>
    </w:p>
  </w:footnote>
  <w:footnote w:type="continuationSeparator" w:id="0">
    <w:p w:rsidR="00C94564" w:rsidRDefault="00C94564" w:rsidP="00E93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Default="00C94564" w:rsidP="000553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4564" w:rsidRDefault="00C945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Default="00C94564" w:rsidP="00A84B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94564" w:rsidRPr="00D44EDE" w:rsidRDefault="00C94564" w:rsidP="00055340">
    <w:pPr>
      <w:spacing w:after="0" w:line="240" w:lineRule="auto"/>
      <w:jc w:val="righ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Pr="00344525" w:rsidRDefault="00C94564" w:rsidP="00055340">
    <w:pPr>
      <w:pStyle w:val="Header"/>
      <w:spacing w:after="0" w:line="240" w:lineRule="auto"/>
      <w:jc w:val="right"/>
      <w:rPr>
        <w:rFonts w:ascii="Times New Roman" w:hAnsi="Times New Roman"/>
        <w:b/>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564" w:rsidRDefault="00C94564" w:rsidP="00A84BE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94564" w:rsidRDefault="00C94564" w:rsidP="00A969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1102B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C2AB4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DE2649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488BC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49279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A124C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AAC9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8CAE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D82D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F08E74"/>
    <w:lvl w:ilvl="0">
      <w:start w:val="1"/>
      <w:numFmt w:val="bullet"/>
      <w:lvlText w:val=""/>
      <w:lvlJc w:val="left"/>
      <w:pPr>
        <w:tabs>
          <w:tab w:val="num" w:pos="360"/>
        </w:tabs>
        <w:ind w:left="360" w:hanging="360"/>
      </w:pPr>
      <w:rPr>
        <w:rFonts w:ascii="Symbol" w:hAnsi="Symbol" w:hint="default"/>
      </w:rPr>
    </w:lvl>
  </w:abstractNum>
  <w:abstractNum w:abstractNumId="10">
    <w:nsid w:val="0D28746E"/>
    <w:multiLevelType w:val="hybridMultilevel"/>
    <w:tmpl w:val="821263BC"/>
    <w:lvl w:ilvl="0" w:tplc="56C2EB5A">
      <w:start w:val="1"/>
      <w:numFmt w:val="lowerLetter"/>
      <w:lvlText w:val="%1)"/>
      <w:lvlJc w:val="left"/>
      <w:pPr>
        <w:tabs>
          <w:tab w:val="num" w:pos="942"/>
        </w:tabs>
        <w:ind w:left="942" w:hanging="375"/>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11">
    <w:nsid w:val="1CDE15FA"/>
    <w:multiLevelType w:val="multilevel"/>
    <w:tmpl w:val="F5729F22"/>
    <w:lvl w:ilvl="0">
      <w:start w:val="1"/>
      <w:numFmt w:val="decimal"/>
      <w:lvlText w:val="%1."/>
      <w:lvlJc w:val="left"/>
      <w:pPr>
        <w:tabs>
          <w:tab w:val="num" w:pos="0"/>
        </w:tabs>
      </w:pPr>
      <w:rPr>
        <w:rFonts w:cs="Times New Roman" w:hint="default"/>
        <w:b w:val="0"/>
        <w:i w:val="0"/>
      </w:rPr>
    </w:lvl>
    <w:lvl w:ilvl="1">
      <w:start w:val="1"/>
      <w:numFmt w:val="decimal"/>
      <w:lvlText w:val="%1.%2. "/>
      <w:lvlJc w:val="left"/>
      <w:pPr>
        <w:tabs>
          <w:tab w:val="num" w:pos="0"/>
        </w:tabs>
      </w:pPr>
      <w:rPr>
        <w:rFonts w:cs="Times New Roman" w:hint="default"/>
        <w:b w:val="0"/>
        <w:i w:val="0"/>
      </w:rPr>
    </w:lvl>
    <w:lvl w:ilvl="2">
      <w:start w:val="1"/>
      <w:numFmt w:val="lowerLetter"/>
      <w:lvlText w:val="R%1.%2%3)"/>
      <w:lvlJc w:val="left"/>
      <w:pPr>
        <w:tabs>
          <w:tab w:val="num" w:pos="1701"/>
        </w:tabs>
        <w:ind w:left="1701" w:hanging="680"/>
      </w:pPr>
      <w:rPr>
        <w:rFonts w:cs="Times New Roman" w:hint="default"/>
        <w:b w:val="0"/>
        <w:i w:val="0"/>
      </w:rPr>
    </w:lvl>
    <w:lvl w:ilvl="3">
      <w:start w:val="1"/>
      <w:numFmt w:val="decimal"/>
      <w:lvlText w:val="%1.%2.%3.%4."/>
      <w:lvlJc w:val="left"/>
      <w:pPr>
        <w:tabs>
          <w:tab w:val="num" w:pos="1828"/>
        </w:tabs>
        <w:ind w:left="1756" w:hanging="648"/>
      </w:pPr>
      <w:rPr>
        <w:rFonts w:cs="Times New Roman" w:hint="default"/>
      </w:rPr>
    </w:lvl>
    <w:lvl w:ilvl="4">
      <w:start w:val="1"/>
      <w:numFmt w:val="decimal"/>
      <w:lvlText w:val="%1.%2.%3.%4.%5."/>
      <w:lvlJc w:val="left"/>
      <w:pPr>
        <w:tabs>
          <w:tab w:val="num" w:pos="2548"/>
        </w:tabs>
        <w:ind w:left="2260" w:hanging="792"/>
      </w:pPr>
      <w:rPr>
        <w:rFonts w:cs="Times New Roman" w:hint="default"/>
      </w:rPr>
    </w:lvl>
    <w:lvl w:ilvl="5">
      <w:start w:val="1"/>
      <w:numFmt w:val="decimal"/>
      <w:lvlText w:val="%1.%2.%3.%4.%5.%6."/>
      <w:lvlJc w:val="left"/>
      <w:pPr>
        <w:tabs>
          <w:tab w:val="num" w:pos="2908"/>
        </w:tabs>
        <w:ind w:left="2764" w:hanging="936"/>
      </w:pPr>
      <w:rPr>
        <w:rFonts w:cs="Times New Roman" w:hint="default"/>
      </w:rPr>
    </w:lvl>
    <w:lvl w:ilvl="6">
      <w:start w:val="1"/>
      <w:numFmt w:val="decimal"/>
      <w:lvlText w:val="%1.%2.%3.%4.%5.%6.%7."/>
      <w:lvlJc w:val="left"/>
      <w:pPr>
        <w:tabs>
          <w:tab w:val="num" w:pos="3628"/>
        </w:tabs>
        <w:ind w:left="3268" w:hanging="1080"/>
      </w:pPr>
      <w:rPr>
        <w:rFonts w:cs="Times New Roman" w:hint="default"/>
      </w:rPr>
    </w:lvl>
    <w:lvl w:ilvl="7">
      <w:start w:val="1"/>
      <w:numFmt w:val="decimal"/>
      <w:lvlText w:val="%1.%2.%3.%4.%5.%6.%7.%8."/>
      <w:lvlJc w:val="left"/>
      <w:pPr>
        <w:tabs>
          <w:tab w:val="num" w:pos="3988"/>
        </w:tabs>
        <w:ind w:left="3772" w:hanging="1224"/>
      </w:pPr>
      <w:rPr>
        <w:rFonts w:cs="Times New Roman" w:hint="default"/>
      </w:rPr>
    </w:lvl>
    <w:lvl w:ilvl="8">
      <w:start w:val="1"/>
      <w:numFmt w:val="decimal"/>
      <w:lvlText w:val="%1.%2.%3.%4.%5.%6.%7.%8.%9."/>
      <w:lvlJc w:val="left"/>
      <w:pPr>
        <w:tabs>
          <w:tab w:val="num" w:pos="4708"/>
        </w:tabs>
        <w:ind w:left="4348" w:hanging="1440"/>
      </w:pPr>
      <w:rPr>
        <w:rFonts w:cs="Times New Roman" w:hint="default"/>
      </w:rPr>
    </w:lvl>
  </w:abstractNum>
  <w:abstractNum w:abstractNumId="12">
    <w:nsid w:val="24BE4B41"/>
    <w:multiLevelType w:val="multilevel"/>
    <w:tmpl w:val="BF025610"/>
    <w:lvl w:ilvl="0">
      <w:start w:val="1"/>
      <w:numFmt w:val="decimal"/>
      <w:suff w:val="space"/>
      <w:lvlText w:val="%1."/>
      <w:lvlJc w:val="left"/>
      <w:pPr>
        <w:ind w:firstLine="567"/>
      </w:pPr>
      <w:rPr>
        <w:rFonts w:cs="Times New Roman" w:hint="default"/>
        <w:b w:val="0"/>
        <w:i w:val="0"/>
        <w:caps w:val="0"/>
        <w:strike w:val="0"/>
        <w:dstrike w:val="0"/>
        <w:shadow w:val="0"/>
        <w:emboss w:val="0"/>
        <w:imprint w:val="0"/>
        <w:vanish w:val="0"/>
        <w:color w:val="auto"/>
        <w:u w:val="none"/>
        <w:vertAlign w:val="baseline"/>
      </w:rPr>
    </w:lvl>
    <w:lvl w:ilvl="1">
      <w:start w:val="1"/>
      <w:numFmt w:val="decimal"/>
      <w:suff w:val="space"/>
      <w:lvlText w:val="%1.%2. "/>
      <w:lvlJc w:val="left"/>
      <w:pPr>
        <w:ind w:left="643" w:firstLine="567"/>
      </w:pPr>
      <w:rPr>
        <w:rFonts w:cs="Times New Roman" w:hint="default"/>
        <w:b w:val="0"/>
        <w:i w:val="0"/>
        <w:caps w:val="0"/>
        <w:strike w:val="0"/>
        <w:dstrike w:val="0"/>
        <w:shadow w:val="0"/>
        <w:emboss w:val="0"/>
        <w:imprint w:val="0"/>
        <w:vanish w:val="0"/>
        <w:color w:val="auto"/>
        <w:vertAlign w:val="baseline"/>
      </w:rPr>
    </w:lvl>
    <w:lvl w:ilvl="2">
      <w:start w:val="1"/>
      <w:numFmt w:val="none"/>
      <w:suff w:val="space"/>
      <w:lvlText w:val=""/>
      <w:lvlJc w:val="left"/>
      <w:pPr>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31DB5475"/>
    <w:multiLevelType w:val="hybridMultilevel"/>
    <w:tmpl w:val="8348D4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A776C92"/>
    <w:multiLevelType w:val="multilevel"/>
    <w:tmpl w:val="BF025610"/>
    <w:lvl w:ilvl="0">
      <w:start w:val="1"/>
      <w:numFmt w:val="decimal"/>
      <w:suff w:val="space"/>
      <w:lvlText w:val="%1."/>
      <w:lvlJc w:val="left"/>
      <w:pPr>
        <w:ind w:firstLine="567"/>
      </w:pPr>
      <w:rPr>
        <w:rFonts w:cs="Times New Roman" w:hint="default"/>
        <w:b w:val="0"/>
        <w:i w:val="0"/>
        <w:caps w:val="0"/>
        <w:strike w:val="0"/>
        <w:dstrike w:val="0"/>
        <w:shadow w:val="0"/>
        <w:emboss w:val="0"/>
        <w:imprint w:val="0"/>
        <w:vanish w:val="0"/>
        <w:color w:val="auto"/>
        <w:u w:val="none"/>
        <w:vertAlign w:val="baseline"/>
      </w:rPr>
    </w:lvl>
    <w:lvl w:ilvl="1">
      <w:start w:val="1"/>
      <w:numFmt w:val="decimal"/>
      <w:suff w:val="space"/>
      <w:lvlText w:val="%1.%2. "/>
      <w:lvlJc w:val="left"/>
      <w:pPr>
        <w:ind w:firstLine="567"/>
      </w:pPr>
      <w:rPr>
        <w:rFonts w:cs="Times New Roman" w:hint="default"/>
        <w:b w:val="0"/>
        <w:i w:val="0"/>
        <w:caps w:val="0"/>
        <w:strike w:val="0"/>
        <w:dstrike w:val="0"/>
        <w:shadow w:val="0"/>
        <w:emboss w:val="0"/>
        <w:imprint w:val="0"/>
        <w:vanish w:val="0"/>
        <w:color w:val="auto"/>
        <w:vertAlign w:val="baseline"/>
      </w:rPr>
    </w:lvl>
    <w:lvl w:ilvl="2">
      <w:start w:val="1"/>
      <w:numFmt w:val="none"/>
      <w:suff w:val="space"/>
      <w:lvlText w:val=""/>
      <w:lvlJc w:val="left"/>
      <w:pPr>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A9454BB"/>
    <w:multiLevelType w:val="hybridMultilevel"/>
    <w:tmpl w:val="A9FCDAE2"/>
    <w:lvl w:ilvl="0" w:tplc="AC641A6A">
      <w:start w:val="1"/>
      <w:numFmt w:val="lowerLetter"/>
      <w:lvlText w:val="%1)"/>
      <w:lvlJc w:val="left"/>
      <w:pPr>
        <w:tabs>
          <w:tab w:val="num" w:pos="644"/>
        </w:tabs>
        <w:ind w:left="644" w:hanging="360"/>
      </w:pPr>
      <w:rPr>
        <w:rFonts w:cs="Times New Roman" w:hint="default"/>
      </w:rPr>
    </w:lvl>
    <w:lvl w:ilvl="1" w:tplc="04270019" w:tentative="1">
      <w:start w:val="1"/>
      <w:numFmt w:val="lowerLetter"/>
      <w:lvlText w:val="%2."/>
      <w:lvlJc w:val="left"/>
      <w:pPr>
        <w:tabs>
          <w:tab w:val="num" w:pos="1364"/>
        </w:tabs>
        <w:ind w:left="1364" w:hanging="360"/>
      </w:pPr>
      <w:rPr>
        <w:rFonts w:cs="Times New Roman"/>
      </w:rPr>
    </w:lvl>
    <w:lvl w:ilvl="2" w:tplc="0427001B" w:tentative="1">
      <w:start w:val="1"/>
      <w:numFmt w:val="lowerRoman"/>
      <w:lvlText w:val="%3."/>
      <w:lvlJc w:val="right"/>
      <w:pPr>
        <w:tabs>
          <w:tab w:val="num" w:pos="2084"/>
        </w:tabs>
        <w:ind w:left="2084" w:hanging="180"/>
      </w:pPr>
      <w:rPr>
        <w:rFonts w:cs="Times New Roman"/>
      </w:rPr>
    </w:lvl>
    <w:lvl w:ilvl="3" w:tplc="0427000F" w:tentative="1">
      <w:start w:val="1"/>
      <w:numFmt w:val="decimal"/>
      <w:lvlText w:val="%4."/>
      <w:lvlJc w:val="left"/>
      <w:pPr>
        <w:tabs>
          <w:tab w:val="num" w:pos="2804"/>
        </w:tabs>
        <w:ind w:left="2804" w:hanging="360"/>
      </w:pPr>
      <w:rPr>
        <w:rFonts w:cs="Times New Roman"/>
      </w:rPr>
    </w:lvl>
    <w:lvl w:ilvl="4" w:tplc="04270019" w:tentative="1">
      <w:start w:val="1"/>
      <w:numFmt w:val="lowerLetter"/>
      <w:lvlText w:val="%5."/>
      <w:lvlJc w:val="left"/>
      <w:pPr>
        <w:tabs>
          <w:tab w:val="num" w:pos="3524"/>
        </w:tabs>
        <w:ind w:left="3524" w:hanging="360"/>
      </w:pPr>
      <w:rPr>
        <w:rFonts w:cs="Times New Roman"/>
      </w:rPr>
    </w:lvl>
    <w:lvl w:ilvl="5" w:tplc="0427001B" w:tentative="1">
      <w:start w:val="1"/>
      <w:numFmt w:val="lowerRoman"/>
      <w:lvlText w:val="%6."/>
      <w:lvlJc w:val="right"/>
      <w:pPr>
        <w:tabs>
          <w:tab w:val="num" w:pos="4244"/>
        </w:tabs>
        <w:ind w:left="4244" w:hanging="180"/>
      </w:pPr>
      <w:rPr>
        <w:rFonts w:cs="Times New Roman"/>
      </w:rPr>
    </w:lvl>
    <w:lvl w:ilvl="6" w:tplc="0427000F" w:tentative="1">
      <w:start w:val="1"/>
      <w:numFmt w:val="decimal"/>
      <w:lvlText w:val="%7."/>
      <w:lvlJc w:val="left"/>
      <w:pPr>
        <w:tabs>
          <w:tab w:val="num" w:pos="4964"/>
        </w:tabs>
        <w:ind w:left="4964" w:hanging="360"/>
      </w:pPr>
      <w:rPr>
        <w:rFonts w:cs="Times New Roman"/>
      </w:rPr>
    </w:lvl>
    <w:lvl w:ilvl="7" w:tplc="04270019" w:tentative="1">
      <w:start w:val="1"/>
      <w:numFmt w:val="lowerLetter"/>
      <w:lvlText w:val="%8."/>
      <w:lvlJc w:val="left"/>
      <w:pPr>
        <w:tabs>
          <w:tab w:val="num" w:pos="5684"/>
        </w:tabs>
        <w:ind w:left="5684" w:hanging="360"/>
      </w:pPr>
      <w:rPr>
        <w:rFonts w:cs="Times New Roman"/>
      </w:rPr>
    </w:lvl>
    <w:lvl w:ilvl="8" w:tplc="0427001B" w:tentative="1">
      <w:start w:val="1"/>
      <w:numFmt w:val="lowerRoman"/>
      <w:lvlText w:val="%9."/>
      <w:lvlJc w:val="right"/>
      <w:pPr>
        <w:tabs>
          <w:tab w:val="num" w:pos="6404"/>
        </w:tabs>
        <w:ind w:left="6404" w:hanging="180"/>
      </w:pPr>
      <w:rPr>
        <w:rFonts w:cs="Times New Roman"/>
      </w:rPr>
    </w:lvl>
  </w:abstractNum>
  <w:abstractNum w:abstractNumId="16">
    <w:nsid w:val="4DC36555"/>
    <w:multiLevelType w:val="hybridMultilevel"/>
    <w:tmpl w:val="822EADBE"/>
    <w:lvl w:ilvl="0" w:tplc="1958986A">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7">
    <w:nsid w:val="55BD734D"/>
    <w:multiLevelType w:val="hybridMultilevel"/>
    <w:tmpl w:val="BE7AD0C4"/>
    <w:lvl w:ilvl="0" w:tplc="144C0C4A">
      <w:start w:val="1"/>
      <w:numFmt w:val="lowerLetter"/>
      <w:lvlText w:val="%1)"/>
      <w:lvlJc w:val="left"/>
      <w:pPr>
        <w:tabs>
          <w:tab w:val="num" w:pos="720"/>
        </w:tabs>
        <w:ind w:left="72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8">
    <w:nsid w:val="58AA2D5C"/>
    <w:multiLevelType w:val="hybridMultilevel"/>
    <w:tmpl w:val="69A8B178"/>
    <w:lvl w:ilvl="0" w:tplc="24BCA390">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9">
    <w:nsid w:val="5F2A16EB"/>
    <w:multiLevelType w:val="hybridMultilevel"/>
    <w:tmpl w:val="EBD4E960"/>
    <w:lvl w:ilvl="0" w:tplc="45DA2558">
      <w:start w:val="1"/>
      <w:numFmt w:val="lowerLetter"/>
      <w:lvlText w:val="%1)"/>
      <w:lvlJc w:val="left"/>
      <w:pPr>
        <w:tabs>
          <w:tab w:val="num" w:pos="927"/>
        </w:tabs>
        <w:ind w:left="927" w:hanging="360"/>
      </w:pPr>
      <w:rPr>
        <w:rFonts w:cs="Times New Roman" w:hint="default"/>
      </w:rPr>
    </w:lvl>
    <w:lvl w:ilvl="1" w:tplc="04270019" w:tentative="1">
      <w:start w:val="1"/>
      <w:numFmt w:val="lowerLetter"/>
      <w:lvlText w:val="%2."/>
      <w:lvlJc w:val="left"/>
      <w:pPr>
        <w:tabs>
          <w:tab w:val="num" w:pos="1647"/>
        </w:tabs>
        <w:ind w:left="1647" w:hanging="360"/>
      </w:pPr>
      <w:rPr>
        <w:rFonts w:cs="Times New Roman"/>
      </w:rPr>
    </w:lvl>
    <w:lvl w:ilvl="2" w:tplc="0427001B" w:tentative="1">
      <w:start w:val="1"/>
      <w:numFmt w:val="lowerRoman"/>
      <w:lvlText w:val="%3."/>
      <w:lvlJc w:val="right"/>
      <w:pPr>
        <w:tabs>
          <w:tab w:val="num" w:pos="2367"/>
        </w:tabs>
        <w:ind w:left="2367" w:hanging="180"/>
      </w:pPr>
      <w:rPr>
        <w:rFonts w:cs="Times New Roman"/>
      </w:rPr>
    </w:lvl>
    <w:lvl w:ilvl="3" w:tplc="0427000F" w:tentative="1">
      <w:start w:val="1"/>
      <w:numFmt w:val="decimal"/>
      <w:lvlText w:val="%4."/>
      <w:lvlJc w:val="left"/>
      <w:pPr>
        <w:tabs>
          <w:tab w:val="num" w:pos="3087"/>
        </w:tabs>
        <w:ind w:left="3087" w:hanging="360"/>
      </w:pPr>
      <w:rPr>
        <w:rFonts w:cs="Times New Roman"/>
      </w:rPr>
    </w:lvl>
    <w:lvl w:ilvl="4" w:tplc="04270019" w:tentative="1">
      <w:start w:val="1"/>
      <w:numFmt w:val="lowerLetter"/>
      <w:lvlText w:val="%5."/>
      <w:lvlJc w:val="left"/>
      <w:pPr>
        <w:tabs>
          <w:tab w:val="num" w:pos="3807"/>
        </w:tabs>
        <w:ind w:left="3807" w:hanging="360"/>
      </w:pPr>
      <w:rPr>
        <w:rFonts w:cs="Times New Roman"/>
      </w:rPr>
    </w:lvl>
    <w:lvl w:ilvl="5" w:tplc="0427001B" w:tentative="1">
      <w:start w:val="1"/>
      <w:numFmt w:val="lowerRoman"/>
      <w:lvlText w:val="%6."/>
      <w:lvlJc w:val="right"/>
      <w:pPr>
        <w:tabs>
          <w:tab w:val="num" w:pos="4527"/>
        </w:tabs>
        <w:ind w:left="4527" w:hanging="180"/>
      </w:pPr>
      <w:rPr>
        <w:rFonts w:cs="Times New Roman"/>
      </w:rPr>
    </w:lvl>
    <w:lvl w:ilvl="6" w:tplc="0427000F" w:tentative="1">
      <w:start w:val="1"/>
      <w:numFmt w:val="decimal"/>
      <w:lvlText w:val="%7."/>
      <w:lvlJc w:val="left"/>
      <w:pPr>
        <w:tabs>
          <w:tab w:val="num" w:pos="5247"/>
        </w:tabs>
        <w:ind w:left="5247" w:hanging="360"/>
      </w:pPr>
      <w:rPr>
        <w:rFonts w:cs="Times New Roman"/>
      </w:rPr>
    </w:lvl>
    <w:lvl w:ilvl="7" w:tplc="04270019" w:tentative="1">
      <w:start w:val="1"/>
      <w:numFmt w:val="lowerLetter"/>
      <w:lvlText w:val="%8."/>
      <w:lvlJc w:val="left"/>
      <w:pPr>
        <w:tabs>
          <w:tab w:val="num" w:pos="5967"/>
        </w:tabs>
        <w:ind w:left="5967" w:hanging="360"/>
      </w:pPr>
      <w:rPr>
        <w:rFonts w:cs="Times New Roman"/>
      </w:rPr>
    </w:lvl>
    <w:lvl w:ilvl="8" w:tplc="0427001B" w:tentative="1">
      <w:start w:val="1"/>
      <w:numFmt w:val="lowerRoman"/>
      <w:lvlText w:val="%9."/>
      <w:lvlJc w:val="right"/>
      <w:pPr>
        <w:tabs>
          <w:tab w:val="num" w:pos="6687"/>
        </w:tabs>
        <w:ind w:left="6687" w:hanging="180"/>
      </w:pPr>
      <w:rPr>
        <w:rFonts w:cs="Times New Roman"/>
      </w:rPr>
    </w:lvl>
  </w:abstractNum>
  <w:abstractNum w:abstractNumId="20">
    <w:nsid w:val="61401F76"/>
    <w:multiLevelType w:val="hybridMultilevel"/>
    <w:tmpl w:val="E8C09B48"/>
    <w:lvl w:ilvl="0" w:tplc="CD1EAEA2">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1">
    <w:nsid w:val="768E0853"/>
    <w:multiLevelType w:val="hybridMultilevel"/>
    <w:tmpl w:val="62C485F8"/>
    <w:lvl w:ilvl="0" w:tplc="236C728A">
      <w:start w:val="1"/>
      <w:numFmt w:val="decimal"/>
      <w:lvlText w:val="%1."/>
      <w:lvlJc w:val="left"/>
      <w:pPr>
        <w:tabs>
          <w:tab w:val="num" w:pos="0"/>
        </w:tabs>
      </w:pPr>
      <w:rPr>
        <w:rFonts w:cs="Times New Roman" w:hint="default"/>
        <w:b w:val="0"/>
        <w:i w:val="0"/>
      </w:rPr>
    </w:lvl>
    <w:lvl w:ilvl="1" w:tplc="FFFFFFFF">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hint="default"/>
        <w:b w:val="0"/>
        <w:i w:val="0"/>
      </w:rPr>
    </w:lvl>
    <w:lvl w:ilvl="3" w:tplc="FFFFFFFF" w:tentative="1">
      <w:start w:val="1"/>
      <w:numFmt w:val="decimal"/>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hint="default"/>
      </w:rPr>
    </w:lvl>
    <w:lvl w:ilvl="5" w:tplc="FFFFFFFF" w:tentative="1">
      <w:start w:val="1"/>
      <w:numFmt w:val="lowerRoman"/>
      <w:lvlText w:val="%6."/>
      <w:lvlJc w:val="right"/>
      <w:pPr>
        <w:tabs>
          <w:tab w:val="num" w:pos="4320"/>
        </w:tabs>
        <w:ind w:left="4320" w:hanging="180"/>
      </w:pPr>
      <w:rPr>
        <w:rFonts w:cs="Times New Roman" w:hint="default"/>
      </w:rPr>
    </w:lvl>
    <w:lvl w:ilvl="6" w:tplc="FFFFFFFF" w:tentative="1">
      <w:start w:val="1"/>
      <w:numFmt w:val="decimal"/>
      <w:lvlText w:val="%7."/>
      <w:lvlJc w:val="left"/>
      <w:pPr>
        <w:tabs>
          <w:tab w:val="num" w:pos="5040"/>
        </w:tabs>
        <w:ind w:left="5040" w:hanging="360"/>
      </w:pPr>
      <w:rPr>
        <w:rFonts w:cs="Times New Roman" w:hint="default"/>
      </w:rPr>
    </w:lvl>
    <w:lvl w:ilvl="7" w:tplc="FFFFFFFF" w:tentative="1">
      <w:start w:val="1"/>
      <w:numFmt w:val="lowerLetter"/>
      <w:lvlText w:val="%8."/>
      <w:lvlJc w:val="left"/>
      <w:pPr>
        <w:tabs>
          <w:tab w:val="num" w:pos="5760"/>
        </w:tabs>
        <w:ind w:left="5760" w:hanging="360"/>
      </w:pPr>
      <w:rPr>
        <w:rFonts w:cs="Times New Roman" w:hint="default"/>
      </w:rPr>
    </w:lvl>
    <w:lvl w:ilvl="8" w:tplc="FFFFFFFF" w:tentative="1">
      <w:start w:val="1"/>
      <w:numFmt w:val="lowerRoman"/>
      <w:lvlText w:val="%9."/>
      <w:lvlJc w:val="right"/>
      <w:pPr>
        <w:tabs>
          <w:tab w:val="num" w:pos="6480"/>
        </w:tabs>
        <w:ind w:left="6480" w:hanging="180"/>
      </w:pPr>
      <w:rPr>
        <w:rFonts w:cs="Times New Roman" w:hint="default"/>
      </w:rPr>
    </w:lvl>
  </w:abstractNum>
  <w:abstractNum w:abstractNumId="22">
    <w:nsid w:val="77043031"/>
    <w:multiLevelType w:val="multilevel"/>
    <w:tmpl w:val="60E6D158"/>
    <w:lvl w:ilvl="0">
      <w:start w:val="1"/>
      <w:numFmt w:val="upperRoman"/>
      <w:suff w:val="space"/>
      <w:lvlText w:val="%1."/>
      <w:lvlJc w:val="left"/>
      <w:pPr>
        <w:ind w:left="1080" w:hanging="720"/>
      </w:pPr>
      <w:rPr>
        <w:rFonts w:cs="Times New Roman" w:hint="default"/>
      </w:rPr>
    </w:lvl>
    <w:lvl w:ilvl="1">
      <w:start w:val="3"/>
      <w:numFmt w:val="decimal"/>
      <w:isLgl/>
      <w:lvlText w:val="%1.%2."/>
      <w:lvlJc w:val="left"/>
      <w:pPr>
        <w:tabs>
          <w:tab w:val="num" w:pos="0"/>
        </w:tabs>
        <w:ind w:left="1080" w:hanging="720"/>
      </w:pPr>
      <w:rPr>
        <w:rFonts w:ascii="Times New Roman" w:eastAsia="Times New Roman" w:hAnsi="Times New Roman" w:cs="Times New Roman" w:hint="default"/>
        <w:sz w:val="24"/>
      </w:rPr>
    </w:lvl>
    <w:lvl w:ilvl="2">
      <w:start w:val="1"/>
      <w:numFmt w:val="decimal"/>
      <w:isLgl/>
      <w:lvlText w:val="%1.%2.%3."/>
      <w:lvlJc w:val="left"/>
      <w:pPr>
        <w:tabs>
          <w:tab w:val="num" w:pos="0"/>
        </w:tabs>
        <w:ind w:left="1080" w:hanging="720"/>
      </w:pPr>
      <w:rPr>
        <w:rFonts w:ascii="Times New Roman" w:eastAsia="Times New Roman" w:hAnsi="Times New Roman" w:cs="Times New Roman" w:hint="default"/>
        <w:sz w:val="24"/>
      </w:rPr>
    </w:lvl>
    <w:lvl w:ilvl="3">
      <w:start w:val="1"/>
      <w:numFmt w:val="decimal"/>
      <w:isLgl/>
      <w:lvlText w:val="%1.%2.%3.%4."/>
      <w:lvlJc w:val="left"/>
      <w:pPr>
        <w:tabs>
          <w:tab w:val="num" w:pos="0"/>
        </w:tabs>
        <w:ind w:left="1440" w:hanging="1080"/>
      </w:pPr>
      <w:rPr>
        <w:rFonts w:ascii="Times New Roman" w:eastAsia="Times New Roman" w:hAnsi="Times New Roman" w:cs="Times New Roman" w:hint="default"/>
        <w:sz w:val="24"/>
      </w:rPr>
    </w:lvl>
    <w:lvl w:ilvl="4">
      <w:start w:val="1"/>
      <w:numFmt w:val="decimal"/>
      <w:isLgl/>
      <w:lvlText w:val="%1.%2.%3.%4.%5."/>
      <w:lvlJc w:val="left"/>
      <w:pPr>
        <w:tabs>
          <w:tab w:val="num" w:pos="0"/>
        </w:tabs>
        <w:ind w:left="1440" w:hanging="1080"/>
      </w:pPr>
      <w:rPr>
        <w:rFonts w:ascii="Times New Roman" w:eastAsia="Times New Roman" w:hAnsi="Times New Roman" w:cs="Times New Roman" w:hint="default"/>
        <w:sz w:val="24"/>
      </w:rPr>
    </w:lvl>
    <w:lvl w:ilvl="5">
      <w:start w:val="1"/>
      <w:numFmt w:val="decimal"/>
      <w:isLgl/>
      <w:lvlText w:val="%1.%2.%3.%4.%5.%6."/>
      <w:lvlJc w:val="left"/>
      <w:pPr>
        <w:tabs>
          <w:tab w:val="num" w:pos="0"/>
        </w:tabs>
        <w:ind w:left="1800" w:hanging="1440"/>
      </w:pPr>
      <w:rPr>
        <w:rFonts w:ascii="Times New Roman" w:eastAsia="Times New Roman" w:hAnsi="Times New Roman" w:cs="Times New Roman" w:hint="default"/>
        <w:sz w:val="24"/>
      </w:rPr>
    </w:lvl>
    <w:lvl w:ilvl="6">
      <w:start w:val="1"/>
      <w:numFmt w:val="decimal"/>
      <w:isLgl/>
      <w:lvlText w:val="%1.%2.%3.%4.%5.%6.%7."/>
      <w:lvlJc w:val="left"/>
      <w:pPr>
        <w:tabs>
          <w:tab w:val="num" w:pos="0"/>
        </w:tabs>
        <w:ind w:left="2160" w:hanging="1800"/>
      </w:pPr>
      <w:rPr>
        <w:rFonts w:ascii="Times New Roman" w:eastAsia="Times New Roman" w:hAnsi="Times New Roman" w:cs="Times New Roman" w:hint="default"/>
        <w:sz w:val="24"/>
      </w:rPr>
    </w:lvl>
    <w:lvl w:ilvl="7">
      <w:start w:val="1"/>
      <w:numFmt w:val="decimal"/>
      <w:isLgl/>
      <w:lvlText w:val="%1.%2.%3.%4.%5.%6.%7.%8."/>
      <w:lvlJc w:val="left"/>
      <w:pPr>
        <w:tabs>
          <w:tab w:val="num" w:pos="0"/>
        </w:tabs>
        <w:ind w:left="2160" w:hanging="1800"/>
      </w:pPr>
      <w:rPr>
        <w:rFonts w:ascii="Times New Roman" w:eastAsia="Times New Roman" w:hAnsi="Times New Roman" w:cs="Times New Roman" w:hint="default"/>
        <w:sz w:val="24"/>
      </w:rPr>
    </w:lvl>
    <w:lvl w:ilvl="8">
      <w:start w:val="1"/>
      <w:numFmt w:val="decimal"/>
      <w:isLgl/>
      <w:lvlText w:val="%1.%2.%3.%4.%5.%6.%7.%8.%9."/>
      <w:lvlJc w:val="left"/>
      <w:pPr>
        <w:tabs>
          <w:tab w:val="num" w:pos="0"/>
        </w:tabs>
        <w:ind w:left="2520" w:hanging="2160"/>
      </w:pPr>
      <w:rPr>
        <w:rFonts w:ascii="Times New Roman" w:eastAsia="Times New Roman" w:hAnsi="Times New Roman" w:cs="Times New Roman" w:hint="default"/>
        <w:sz w:val="24"/>
      </w:rPr>
    </w:lvl>
  </w:abstractNum>
  <w:abstractNum w:abstractNumId="23">
    <w:nsid w:val="79F34076"/>
    <w:multiLevelType w:val="hybridMultilevel"/>
    <w:tmpl w:val="9BBAAD10"/>
    <w:lvl w:ilvl="0" w:tplc="04270011">
      <w:start w:val="1"/>
      <w:numFmt w:val="decimal"/>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7CCF69DD"/>
    <w:multiLevelType w:val="hybridMultilevel"/>
    <w:tmpl w:val="02DC21F8"/>
    <w:lvl w:ilvl="0" w:tplc="3626C500">
      <w:start w:val="1"/>
      <w:numFmt w:val="lowerLetter"/>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14"/>
  </w:num>
  <w:num w:numId="3">
    <w:abstractNumId w:val="11"/>
  </w:num>
  <w:num w:numId="4">
    <w:abstractNumId w:val="21"/>
  </w:num>
  <w:num w:numId="5">
    <w:abstractNumId w:val="12"/>
  </w:num>
  <w:num w:numId="6">
    <w:abstractNumId w:val="17"/>
  </w:num>
  <w:num w:numId="7">
    <w:abstractNumId w:val="10"/>
  </w:num>
  <w:num w:numId="8">
    <w:abstractNumId w:val="20"/>
  </w:num>
  <w:num w:numId="9">
    <w:abstractNumId w:val="18"/>
  </w:num>
  <w:num w:numId="10">
    <w:abstractNumId w:val="24"/>
  </w:num>
  <w:num w:numId="11">
    <w:abstractNumId w:val="19"/>
  </w:num>
  <w:num w:numId="12">
    <w:abstractNumId w:val="15"/>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7EC"/>
    <w:rsid w:val="00000799"/>
    <w:rsid w:val="0000137A"/>
    <w:rsid w:val="00007C9A"/>
    <w:rsid w:val="000109C6"/>
    <w:rsid w:val="0001152F"/>
    <w:rsid w:val="00011C09"/>
    <w:rsid w:val="000128B0"/>
    <w:rsid w:val="00013C80"/>
    <w:rsid w:val="00014C53"/>
    <w:rsid w:val="0002224A"/>
    <w:rsid w:val="0002266F"/>
    <w:rsid w:val="00024CDE"/>
    <w:rsid w:val="000253BB"/>
    <w:rsid w:val="00031BEE"/>
    <w:rsid w:val="00032877"/>
    <w:rsid w:val="00032B2C"/>
    <w:rsid w:val="000332E7"/>
    <w:rsid w:val="00033BD8"/>
    <w:rsid w:val="0003444C"/>
    <w:rsid w:val="00040058"/>
    <w:rsid w:val="00041649"/>
    <w:rsid w:val="00041C34"/>
    <w:rsid w:val="000425B0"/>
    <w:rsid w:val="00042A8A"/>
    <w:rsid w:val="00043B59"/>
    <w:rsid w:val="0004677D"/>
    <w:rsid w:val="0004754E"/>
    <w:rsid w:val="00055340"/>
    <w:rsid w:val="0006005B"/>
    <w:rsid w:val="000632F5"/>
    <w:rsid w:val="00066C00"/>
    <w:rsid w:val="00070E38"/>
    <w:rsid w:val="00071EF7"/>
    <w:rsid w:val="000741B1"/>
    <w:rsid w:val="00076249"/>
    <w:rsid w:val="00076E95"/>
    <w:rsid w:val="000773FB"/>
    <w:rsid w:val="000775A5"/>
    <w:rsid w:val="00080760"/>
    <w:rsid w:val="0008463A"/>
    <w:rsid w:val="00084662"/>
    <w:rsid w:val="00084EA8"/>
    <w:rsid w:val="00086033"/>
    <w:rsid w:val="00086587"/>
    <w:rsid w:val="00086DB6"/>
    <w:rsid w:val="000915C4"/>
    <w:rsid w:val="00093B0A"/>
    <w:rsid w:val="00094BEC"/>
    <w:rsid w:val="0009505F"/>
    <w:rsid w:val="00096754"/>
    <w:rsid w:val="000973D3"/>
    <w:rsid w:val="00097A4D"/>
    <w:rsid w:val="000A0E23"/>
    <w:rsid w:val="000A1FEF"/>
    <w:rsid w:val="000B0C1D"/>
    <w:rsid w:val="000B1504"/>
    <w:rsid w:val="000B209C"/>
    <w:rsid w:val="000B64D4"/>
    <w:rsid w:val="000B7AC3"/>
    <w:rsid w:val="000C4CB4"/>
    <w:rsid w:val="000D2DC9"/>
    <w:rsid w:val="000D4329"/>
    <w:rsid w:val="000D44F8"/>
    <w:rsid w:val="000D5D57"/>
    <w:rsid w:val="000E10BF"/>
    <w:rsid w:val="000E2581"/>
    <w:rsid w:val="000E3024"/>
    <w:rsid w:val="000E480F"/>
    <w:rsid w:val="000E58DE"/>
    <w:rsid w:val="000E5AEC"/>
    <w:rsid w:val="000E5E4D"/>
    <w:rsid w:val="000F17FD"/>
    <w:rsid w:val="000F1A3F"/>
    <w:rsid w:val="000F219F"/>
    <w:rsid w:val="000F310E"/>
    <w:rsid w:val="000F3E06"/>
    <w:rsid w:val="000F587D"/>
    <w:rsid w:val="000F6B49"/>
    <w:rsid w:val="001017FF"/>
    <w:rsid w:val="00101C26"/>
    <w:rsid w:val="00102060"/>
    <w:rsid w:val="001027E4"/>
    <w:rsid w:val="0010479F"/>
    <w:rsid w:val="0010590D"/>
    <w:rsid w:val="00105F29"/>
    <w:rsid w:val="0011481C"/>
    <w:rsid w:val="001159D0"/>
    <w:rsid w:val="0011667C"/>
    <w:rsid w:val="00116A49"/>
    <w:rsid w:val="001173E6"/>
    <w:rsid w:val="001176EF"/>
    <w:rsid w:val="00120830"/>
    <w:rsid w:val="0012243E"/>
    <w:rsid w:val="00122E76"/>
    <w:rsid w:val="00124DF2"/>
    <w:rsid w:val="00125400"/>
    <w:rsid w:val="0012541E"/>
    <w:rsid w:val="00125B38"/>
    <w:rsid w:val="001263D1"/>
    <w:rsid w:val="001301C0"/>
    <w:rsid w:val="0013046F"/>
    <w:rsid w:val="001315B9"/>
    <w:rsid w:val="00131EEC"/>
    <w:rsid w:val="00131F18"/>
    <w:rsid w:val="00132BC1"/>
    <w:rsid w:val="0013460F"/>
    <w:rsid w:val="001348A1"/>
    <w:rsid w:val="00137DA7"/>
    <w:rsid w:val="00140FF3"/>
    <w:rsid w:val="00141482"/>
    <w:rsid w:val="00142830"/>
    <w:rsid w:val="00144716"/>
    <w:rsid w:val="00145780"/>
    <w:rsid w:val="00145B97"/>
    <w:rsid w:val="001473FE"/>
    <w:rsid w:val="00147C38"/>
    <w:rsid w:val="00152315"/>
    <w:rsid w:val="0015420E"/>
    <w:rsid w:val="001562F7"/>
    <w:rsid w:val="001601C4"/>
    <w:rsid w:val="0016267C"/>
    <w:rsid w:val="001647BF"/>
    <w:rsid w:val="001647F0"/>
    <w:rsid w:val="00166977"/>
    <w:rsid w:val="00166DA0"/>
    <w:rsid w:val="001758BE"/>
    <w:rsid w:val="00180B86"/>
    <w:rsid w:val="001816EC"/>
    <w:rsid w:val="00186483"/>
    <w:rsid w:val="00186A76"/>
    <w:rsid w:val="0019184C"/>
    <w:rsid w:val="00194162"/>
    <w:rsid w:val="001959B4"/>
    <w:rsid w:val="00195DA5"/>
    <w:rsid w:val="001A0A8F"/>
    <w:rsid w:val="001A12A9"/>
    <w:rsid w:val="001A2B81"/>
    <w:rsid w:val="001A5C9F"/>
    <w:rsid w:val="001B11A2"/>
    <w:rsid w:val="001B1453"/>
    <w:rsid w:val="001B5E77"/>
    <w:rsid w:val="001C0B8D"/>
    <w:rsid w:val="001C0E77"/>
    <w:rsid w:val="001C0F36"/>
    <w:rsid w:val="001C2C26"/>
    <w:rsid w:val="001C3ACE"/>
    <w:rsid w:val="001C3F0A"/>
    <w:rsid w:val="001D0540"/>
    <w:rsid w:val="001D19F6"/>
    <w:rsid w:val="001D2B42"/>
    <w:rsid w:val="001D54F7"/>
    <w:rsid w:val="001D57DF"/>
    <w:rsid w:val="001D6C84"/>
    <w:rsid w:val="001D7A8F"/>
    <w:rsid w:val="001E483B"/>
    <w:rsid w:val="001E6801"/>
    <w:rsid w:val="001E6D08"/>
    <w:rsid w:val="001E6D4C"/>
    <w:rsid w:val="001E738C"/>
    <w:rsid w:val="001F1FF4"/>
    <w:rsid w:val="001F2092"/>
    <w:rsid w:val="00200DE6"/>
    <w:rsid w:val="00203314"/>
    <w:rsid w:val="00204902"/>
    <w:rsid w:val="00204ABB"/>
    <w:rsid w:val="002052D7"/>
    <w:rsid w:val="00205561"/>
    <w:rsid w:val="00210025"/>
    <w:rsid w:val="00213768"/>
    <w:rsid w:val="00213DB6"/>
    <w:rsid w:val="002145A0"/>
    <w:rsid w:val="00215240"/>
    <w:rsid w:val="002171F0"/>
    <w:rsid w:val="00217545"/>
    <w:rsid w:val="00221382"/>
    <w:rsid w:val="00223D03"/>
    <w:rsid w:val="00225AE3"/>
    <w:rsid w:val="00226FBF"/>
    <w:rsid w:val="002278B3"/>
    <w:rsid w:val="00230B51"/>
    <w:rsid w:val="00230B78"/>
    <w:rsid w:val="00231100"/>
    <w:rsid w:val="0024114B"/>
    <w:rsid w:val="0024234F"/>
    <w:rsid w:val="00245C25"/>
    <w:rsid w:val="002460E5"/>
    <w:rsid w:val="00246123"/>
    <w:rsid w:val="00246221"/>
    <w:rsid w:val="002479D5"/>
    <w:rsid w:val="00247B09"/>
    <w:rsid w:val="00255183"/>
    <w:rsid w:val="002566BC"/>
    <w:rsid w:val="002574CB"/>
    <w:rsid w:val="00260C9D"/>
    <w:rsid w:val="00261202"/>
    <w:rsid w:val="0026270D"/>
    <w:rsid w:val="00263B92"/>
    <w:rsid w:val="0027212A"/>
    <w:rsid w:val="0027348E"/>
    <w:rsid w:val="00273A8B"/>
    <w:rsid w:val="00273F15"/>
    <w:rsid w:val="0028008B"/>
    <w:rsid w:val="00286AAD"/>
    <w:rsid w:val="00290034"/>
    <w:rsid w:val="002904C9"/>
    <w:rsid w:val="0029134E"/>
    <w:rsid w:val="00292796"/>
    <w:rsid w:val="002939FD"/>
    <w:rsid w:val="00294CD2"/>
    <w:rsid w:val="002A208E"/>
    <w:rsid w:val="002A28E2"/>
    <w:rsid w:val="002A3433"/>
    <w:rsid w:val="002A3A93"/>
    <w:rsid w:val="002A580D"/>
    <w:rsid w:val="002A5CAB"/>
    <w:rsid w:val="002A6D59"/>
    <w:rsid w:val="002B0646"/>
    <w:rsid w:val="002B1F67"/>
    <w:rsid w:val="002B5005"/>
    <w:rsid w:val="002B601C"/>
    <w:rsid w:val="002C1E07"/>
    <w:rsid w:val="002C24D0"/>
    <w:rsid w:val="002C3120"/>
    <w:rsid w:val="002D334B"/>
    <w:rsid w:val="002D4944"/>
    <w:rsid w:val="002D685F"/>
    <w:rsid w:val="002D6C34"/>
    <w:rsid w:val="002D6D80"/>
    <w:rsid w:val="002D6F3A"/>
    <w:rsid w:val="002D7412"/>
    <w:rsid w:val="002E03F0"/>
    <w:rsid w:val="002E045B"/>
    <w:rsid w:val="002E4003"/>
    <w:rsid w:val="002E414F"/>
    <w:rsid w:val="002E424E"/>
    <w:rsid w:val="002E5AEF"/>
    <w:rsid w:val="002E6807"/>
    <w:rsid w:val="002E7B09"/>
    <w:rsid w:val="002F787B"/>
    <w:rsid w:val="00304707"/>
    <w:rsid w:val="00305BCE"/>
    <w:rsid w:val="003063B2"/>
    <w:rsid w:val="003100CE"/>
    <w:rsid w:val="00310731"/>
    <w:rsid w:val="0031104C"/>
    <w:rsid w:val="003113F6"/>
    <w:rsid w:val="00312082"/>
    <w:rsid w:val="00313AFF"/>
    <w:rsid w:val="00314D0F"/>
    <w:rsid w:val="00314F36"/>
    <w:rsid w:val="0031645B"/>
    <w:rsid w:val="003176B7"/>
    <w:rsid w:val="003211E7"/>
    <w:rsid w:val="003214EF"/>
    <w:rsid w:val="00325653"/>
    <w:rsid w:val="00330DCA"/>
    <w:rsid w:val="00331480"/>
    <w:rsid w:val="00331BDB"/>
    <w:rsid w:val="003323CF"/>
    <w:rsid w:val="0033360C"/>
    <w:rsid w:val="00334538"/>
    <w:rsid w:val="00335C6C"/>
    <w:rsid w:val="00337692"/>
    <w:rsid w:val="00340192"/>
    <w:rsid w:val="00341633"/>
    <w:rsid w:val="00341967"/>
    <w:rsid w:val="00342C43"/>
    <w:rsid w:val="00344525"/>
    <w:rsid w:val="0034493B"/>
    <w:rsid w:val="003457E1"/>
    <w:rsid w:val="00346338"/>
    <w:rsid w:val="00347212"/>
    <w:rsid w:val="00351B79"/>
    <w:rsid w:val="003537DB"/>
    <w:rsid w:val="00354960"/>
    <w:rsid w:val="0036271A"/>
    <w:rsid w:val="00363AC8"/>
    <w:rsid w:val="003641CD"/>
    <w:rsid w:val="0037032F"/>
    <w:rsid w:val="00370DB9"/>
    <w:rsid w:val="00371000"/>
    <w:rsid w:val="00373580"/>
    <w:rsid w:val="003758BE"/>
    <w:rsid w:val="00376988"/>
    <w:rsid w:val="00376D81"/>
    <w:rsid w:val="00377DAD"/>
    <w:rsid w:val="0038152D"/>
    <w:rsid w:val="00381860"/>
    <w:rsid w:val="003850F5"/>
    <w:rsid w:val="00393F52"/>
    <w:rsid w:val="003951FB"/>
    <w:rsid w:val="003967B4"/>
    <w:rsid w:val="00397F6C"/>
    <w:rsid w:val="003A0074"/>
    <w:rsid w:val="003A1B25"/>
    <w:rsid w:val="003A1E87"/>
    <w:rsid w:val="003A451C"/>
    <w:rsid w:val="003A5850"/>
    <w:rsid w:val="003A6076"/>
    <w:rsid w:val="003A7BD9"/>
    <w:rsid w:val="003B0B00"/>
    <w:rsid w:val="003B35E4"/>
    <w:rsid w:val="003B50B3"/>
    <w:rsid w:val="003B5F3C"/>
    <w:rsid w:val="003B6CE3"/>
    <w:rsid w:val="003B6D13"/>
    <w:rsid w:val="003B77CD"/>
    <w:rsid w:val="003C005D"/>
    <w:rsid w:val="003C28E8"/>
    <w:rsid w:val="003C2B91"/>
    <w:rsid w:val="003C3B3C"/>
    <w:rsid w:val="003C4974"/>
    <w:rsid w:val="003C79C0"/>
    <w:rsid w:val="003D1791"/>
    <w:rsid w:val="003D7607"/>
    <w:rsid w:val="003D7BE0"/>
    <w:rsid w:val="003E02C6"/>
    <w:rsid w:val="003E1169"/>
    <w:rsid w:val="003E1249"/>
    <w:rsid w:val="003E2058"/>
    <w:rsid w:val="003E3BD8"/>
    <w:rsid w:val="003E41BB"/>
    <w:rsid w:val="003E5599"/>
    <w:rsid w:val="003E65F4"/>
    <w:rsid w:val="003F187E"/>
    <w:rsid w:val="003F2785"/>
    <w:rsid w:val="003F39FC"/>
    <w:rsid w:val="003F5B81"/>
    <w:rsid w:val="003F6338"/>
    <w:rsid w:val="00406E86"/>
    <w:rsid w:val="004074E2"/>
    <w:rsid w:val="004119ED"/>
    <w:rsid w:val="00414B4E"/>
    <w:rsid w:val="00414F51"/>
    <w:rsid w:val="0041547B"/>
    <w:rsid w:val="004161B9"/>
    <w:rsid w:val="00416B2D"/>
    <w:rsid w:val="00416E47"/>
    <w:rsid w:val="004175CE"/>
    <w:rsid w:val="00422789"/>
    <w:rsid w:val="0042343A"/>
    <w:rsid w:val="00423D79"/>
    <w:rsid w:val="00424BC6"/>
    <w:rsid w:val="00426413"/>
    <w:rsid w:val="00434331"/>
    <w:rsid w:val="004344D0"/>
    <w:rsid w:val="00434E5C"/>
    <w:rsid w:val="0043511E"/>
    <w:rsid w:val="00435CF8"/>
    <w:rsid w:val="00440BA0"/>
    <w:rsid w:val="00441438"/>
    <w:rsid w:val="00441858"/>
    <w:rsid w:val="00442794"/>
    <w:rsid w:val="00443196"/>
    <w:rsid w:val="00446F80"/>
    <w:rsid w:val="00450547"/>
    <w:rsid w:val="004578A3"/>
    <w:rsid w:val="00457A4F"/>
    <w:rsid w:val="00457F00"/>
    <w:rsid w:val="00461612"/>
    <w:rsid w:val="00461AA1"/>
    <w:rsid w:val="00461C10"/>
    <w:rsid w:val="0046295B"/>
    <w:rsid w:val="004656C4"/>
    <w:rsid w:val="00466F9E"/>
    <w:rsid w:val="004671E6"/>
    <w:rsid w:val="00472397"/>
    <w:rsid w:val="00472461"/>
    <w:rsid w:val="004742B6"/>
    <w:rsid w:val="00474A2D"/>
    <w:rsid w:val="00474A58"/>
    <w:rsid w:val="00474C80"/>
    <w:rsid w:val="004752B1"/>
    <w:rsid w:val="004768C2"/>
    <w:rsid w:val="0048010F"/>
    <w:rsid w:val="00482173"/>
    <w:rsid w:val="004821EE"/>
    <w:rsid w:val="0048537E"/>
    <w:rsid w:val="00487CA8"/>
    <w:rsid w:val="00492CBC"/>
    <w:rsid w:val="00493DC4"/>
    <w:rsid w:val="00496037"/>
    <w:rsid w:val="00496D19"/>
    <w:rsid w:val="00497B4F"/>
    <w:rsid w:val="004A0455"/>
    <w:rsid w:val="004A071D"/>
    <w:rsid w:val="004A3FA8"/>
    <w:rsid w:val="004B28EB"/>
    <w:rsid w:val="004B384D"/>
    <w:rsid w:val="004B39BE"/>
    <w:rsid w:val="004B4530"/>
    <w:rsid w:val="004B573D"/>
    <w:rsid w:val="004B77F1"/>
    <w:rsid w:val="004C132F"/>
    <w:rsid w:val="004C327A"/>
    <w:rsid w:val="004C3857"/>
    <w:rsid w:val="004C4F94"/>
    <w:rsid w:val="004C5085"/>
    <w:rsid w:val="004D46F9"/>
    <w:rsid w:val="004D581F"/>
    <w:rsid w:val="004D5BDA"/>
    <w:rsid w:val="004D6511"/>
    <w:rsid w:val="004D696E"/>
    <w:rsid w:val="004E0EFA"/>
    <w:rsid w:val="004E1A88"/>
    <w:rsid w:val="004E3597"/>
    <w:rsid w:val="004E40BA"/>
    <w:rsid w:val="004E4435"/>
    <w:rsid w:val="004E46C5"/>
    <w:rsid w:val="004E6027"/>
    <w:rsid w:val="004F1735"/>
    <w:rsid w:val="004F1F48"/>
    <w:rsid w:val="004F2D16"/>
    <w:rsid w:val="004F4CDC"/>
    <w:rsid w:val="00501D0A"/>
    <w:rsid w:val="0050307F"/>
    <w:rsid w:val="0050570C"/>
    <w:rsid w:val="00506120"/>
    <w:rsid w:val="00511753"/>
    <w:rsid w:val="00512D38"/>
    <w:rsid w:val="0051315B"/>
    <w:rsid w:val="00513E0E"/>
    <w:rsid w:val="00514F18"/>
    <w:rsid w:val="0051572A"/>
    <w:rsid w:val="005159A0"/>
    <w:rsid w:val="00517070"/>
    <w:rsid w:val="005178FD"/>
    <w:rsid w:val="00517F7B"/>
    <w:rsid w:val="00522E6A"/>
    <w:rsid w:val="00523F6D"/>
    <w:rsid w:val="00525489"/>
    <w:rsid w:val="00526365"/>
    <w:rsid w:val="00530620"/>
    <w:rsid w:val="00533027"/>
    <w:rsid w:val="00534E00"/>
    <w:rsid w:val="005355FC"/>
    <w:rsid w:val="0053577C"/>
    <w:rsid w:val="00540C78"/>
    <w:rsid w:val="00542828"/>
    <w:rsid w:val="00542888"/>
    <w:rsid w:val="005448B9"/>
    <w:rsid w:val="0054509B"/>
    <w:rsid w:val="005467AA"/>
    <w:rsid w:val="00547F5A"/>
    <w:rsid w:val="00550CF0"/>
    <w:rsid w:val="00553CA5"/>
    <w:rsid w:val="005552C4"/>
    <w:rsid w:val="00556337"/>
    <w:rsid w:val="00560004"/>
    <w:rsid w:val="0056336F"/>
    <w:rsid w:val="00570AD3"/>
    <w:rsid w:val="00572098"/>
    <w:rsid w:val="0057265F"/>
    <w:rsid w:val="00572A0A"/>
    <w:rsid w:val="00575CEB"/>
    <w:rsid w:val="00577755"/>
    <w:rsid w:val="00582A9A"/>
    <w:rsid w:val="005836DA"/>
    <w:rsid w:val="005900F7"/>
    <w:rsid w:val="00591443"/>
    <w:rsid w:val="005915B1"/>
    <w:rsid w:val="00592543"/>
    <w:rsid w:val="00592697"/>
    <w:rsid w:val="00593341"/>
    <w:rsid w:val="00593681"/>
    <w:rsid w:val="00594A86"/>
    <w:rsid w:val="00594BC9"/>
    <w:rsid w:val="005A2395"/>
    <w:rsid w:val="005A7984"/>
    <w:rsid w:val="005B085A"/>
    <w:rsid w:val="005B2686"/>
    <w:rsid w:val="005B27BB"/>
    <w:rsid w:val="005C0610"/>
    <w:rsid w:val="005C0F57"/>
    <w:rsid w:val="005C2298"/>
    <w:rsid w:val="005C36B3"/>
    <w:rsid w:val="005C7ED8"/>
    <w:rsid w:val="005D25F2"/>
    <w:rsid w:val="005D591F"/>
    <w:rsid w:val="005D7C9D"/>
    <w:rsid w:val="005D7D15"/>
    <w:rsid w:val="005E03D5"/>
    <w:rsid w:val="005E2246"/>
    <w:rsid w:val="005E566A"/>
    <w:rsid w:val="005E6889"/>
    <w:rsid w:val="005E6E79"/>
    <w:rsid w:val="005F28E5"/>
    <w:rsid w:val="005F30CD"/>
    <w:rsid w:val="005F3E46"/>
    <w:rsid w:val="005F55DF"/>
    <w:rsid w:val="005F59DE"/>
    <w:rsid w:val="005F6CE7"/>
    <w:rsid w:val="005F773A"/>
    <w:rsid w:val="00601854"/>
    <w:rsid w:val="00602508"/>
    <w:rsid w:val="00602DD4"/>
    <w:rsid w:val="00603DF4"/>
    <w:rsid w:val="0060542F"/>
    <w:rsid w:val="00610BA2"/>
    <w:rsid w:val="00617A5D"/>
    <w:rsid w:val="00620546"/>
    <w:rsid w:val="00621BF0"/>
    <w:rsid w:val="006227AF"/>
    <w:rsid w:val="00622971"/>
    <w:rsid w:val="00631E54"/>
    <w:rsid w:val="006343F0"/>
    <w:rsid w:val="00634C3D"/>
    <w:rsid w:val="00635888"/>
    <w:rsid w:val="00643018"/>
    <w:rsid w:val="006447E5"/>
    <w:rsid w:val="00644911"/>
    <w:rsid w:val="0064518D"/>
    <w:rsid w:val="006477EF"/>
    <w:rsid w:val="00647C20"/>
    <w:rsid w:val="00651A96"/>
    <w:rsid w:val="00653AD3"/>
    <w:rsid w:val="006548D6"/>
    <w:rsid w:val="006567B9"/>
    <w:rsid w:val="00661998"/>
    <w:rsid w:val="0066222E"/>
    <w:rsid w:val="00662837"/>
    <w:rsid w:val="00667396"/>
    <w:rsid w:val="0066775C"/>
    <w:rsid w:val="00667B90"/>
    <w:rsid w:val="00667C5F"/>
    <w:rsid w:val="0067130E"/>
    <w:rsid w:val="00673E64"/>
    <w:rsid w:val="00674A1C"/>
    <w:rsid w:val="0068050B"/>
    <w:rsid w:val="006825B1"/>
    <w:rsid w:val="00684F04"/>
    <w:rsid w:val="00687AE3"/>
    <w:rsid w:val="00687E95"/>
    <w:rsid w:val="006902B3"/>
    <w:rsid w:val="006920F6"/>
    <w:rsid w:val="006923FC"/>
    <w:rsid w:val="006959EE"/>
    <w:rsid w:val="00697E68"/>
    <w:rsid w:val="006A0EA4"/>
    <w:rsid w:val="006A1067"/>
    <w:rsid w:val="006A436C"/>
    <w:rsid w:val="006A621C"/>
    <w:rsid w:val="006A7639"/>
    <w:rsid w:val="006B6B0A"/>
    <w:rsid w:val="006B7441"/>
    <w:rsid w:val="006C1E58"/>
    <w:rsid w:val="006C2946"/>
    <w:rsid w:val="006C30F5"/>
    <w:rsid w:val="006C3555"/>
    <w:rsid w:val="006C4370"/>
    <w:rsid w:val="006C5DF1"/>
    <w:rsid w:val="006C5DF8"/>
    <w:rsid w:val="006C7259"/>
    <w:rsid w:val="006C7DFC"/>
    <w:rsid w:val="006D17DE"/>
    <w:rsid w:val="006D17F7"/>
    <w:rsid w:val="006D20E6"/>
    <w:rsid w:val="006D2E61"/>
    <w:rsid w:val="006D7AA9"/>
    <w:rsid w:val="006D7B60"/>
    <w:rsid w:val="006E1242"/>
    <w:rsid w:val="006E15C4"/>
    <w:rsid w:val="006F13CB"/>
    <w:rsid w:val="006F1785"/>
    <w:rsid w:val="006F303C"/>
    <w:rsid w:val="006F5C2A"/>
    <w:rsid w:val="007003CD"/>
    <w:rsid w:val="00700A7F"/>
    <w:rsid w:val="0070152F"/>
    <w:rsid w:val="00701D34"/>
    <w:rsid w:val="007030F6"/>
    <w:rsid w:val="0070317A"/>
    <w:rsid w:val="00704532"/>
    <w:rsid w:val="00704A53"/>
    <w:rsid w:val="0070500F"/>
    <w:rsid w:val="00706088"/>
    <w:rsid w:val="00706AA3"/>
    <w:rsid w:val="00707679"/>
    <w:rsid w:val="00707D10"/>
    <w:rsid w:val="00707FC4"/>
    <w:rsid w:val="00710928"/>
    <w:rsid w:val="00712D1D"/>
    <w:rsid w:val="007149B5"/>
    <w:rsid w:val="00715C14"/>
    <w:rsid w:val="007226ED"/>
    <w:rsid w:val="007237EC"/>
    <w:rsid w:val="00726C1A"/>
    <w:rsid w:val="00727538"/>
    <w:rsid w:val="007316DB"/>
    <w:rsid w:val="00732055"/>
    <w:rsid w:val="0073209D"/>
    <w:rsid w:val="00734B7A"/>
    <w:rsid w:val="00735657"/>
    <w:rsid w:val="00735CB5"/>
    <w:rsid w:val="007362CD"/>
    <w:rsid w:val="00736796"/>
    <w:rsid w:val="00742526"/>
    <w:rsid w:val="007454FF"/>
    <w:rsid w:val="00745817"/>
    <w:rsid w:val="0074729E"/>
    <w:rsid w:val="00750C2C"/>
    <w:rsid w:val="0075211E"/>
    <w:rsid w:val="00753BA5"/>
    <w:rsid w:val="0075472C"/>
    <w:rsid w:val="00754C27"/>
    <w:rsid w:val="00756F48"/>
    <w:rsid w:val="00757DE6"/>
    <w:rsid w:val="00757EF4"/>
    <w:rsid w:val="00760E7E"/>
    <w:rsid w:val="007701C9"/>
    <w:rsid w:val="0077085E"/>
    <w:rsid w:val="00771AA4"/>
    <w:rsid w:val="00772500"/>
    <w:rsid w:val="00772AC6"/>
    <w:rsid w:val="007736CF"/>
    <w:rsid w:val="00773776"/>
    <w:rsid w:val="00774073"/>
    <w:rsid w:val="00776510"/>
    <w:rsid w:val="00777B09"/>
    <w:rsid w:val="00780847"/>
    <w:rsid w:val="00781EB6"/>
    <w:rsid w:val="00782F2F"/>
    <w:rsid w:val="007832EC"/>
    <w:rsid w:val="00783E85"/>
    <w:rsid w:val="00783F83"/>
    <w:rsid w:val="0078444A"/>
    <w:rsid w:val="00790050"/>
    <w:rsid w:val="00790475"/>
    <w:rsid w:val="0079147F"/>
    <w:rsid w:val="00792721"/>
    <w:rsid w:val="00792DF2"/>
    <w:rsid w:val="00792E38"/>
    <w:rsid w:val="00794391"/>
    <w:rsid w:val="007A29DA"/>
    <w:rsid w:val="007A317F"/>
    <w:rsid w:val="007A40E8"/>
    <w:rsid w:val="007A6906"/>
    <w:rsid w:val="007A6A22"/>
    <w:rsid w:val="007B1BA5"/>
    <w:rsid w:val="007B2BAA"/>
    <w:rsid w:val="007B41C3"/>
    <w:rsid w:val="007B6357"/>
    <w:rsid w:val="007C18FD"/>
    <w:rsid w:val="007C1FE5"/>
    <w:rsid w:val="007C5B7B"/>
    <w:rsid w:val="007C6890"/>
    <w:rsid w:val="007C6A27"/>
    <w:rsid w:val="007C6CE7"/>
    <w:rsid w:val="007D097E"/>
    <w:rsid w:val="007D2073"/>
    <w:rsid w:val="007D3E9C"/>
    <w:rsid w:val="007D46B8"/>
    <w:rsid w:val="007D5943"/>
    <w:rsid w:val="007D620A"/>
    <w:rsid w:val="007D62E0"/>
    <w:rsid w:val="007D78B6"/>
    <w:rsid w:val="007E078C"/>
    <w:rsid w:val="007E0B86"/>
    <w:rsid w:val="007E269B"/>
    <w:rsid w:val="007E6DF1"/>
    <w:rsid w:val="007E77EF"/>
    <w:rsid w:val="007F1AC3"/>
    <w:rsid w:val="007F65ED"/>
    <w:rsid w:val="007F6F13"/>
    <w:rsid w:val="008005F2"/>
    <w:rsid w:val="00802295"/>
    <w:rsid w:val="00803795"/>
    <w:rsid w:val="00803DD2"/>
    <w:rsid w:val="00803F05"/>
    <w:rsid w:val="00805250"/>
    <w:rsid w:val="00805C79"/>
    <w:rsid w:val="00810E9A"/>
    <w:rsid w:val="008119C0"/>
    <w:rsid w:val="00813694"/>
    <w:rsid w:val="00817C05"/>
    <w:rsid w:val="00817EEB"/>
    <w:rsid w:val="0082130B"/>
    <w:rsid w:val="0082329D"/>
    <w:rsid w:val="0082539E"/>
    <w:rsid w:val="00826B0F"/>
    <w:rsid w:val="00827A89"/>
    <w:rsid w:val="008332B9"/>
    <w:rsid w:val="00834479"/>
    <w:rsid w:val="008344A6"/>
    <w:rsid w:val="00834931"/>
    <w:rsid w:val="00834BFD"/>
    <w:rsid w:val="00836D91"/>
    <w:rsid w:val="00837C6A"/>
    <w:rsid w:val="00840355"/>
    <w:rsid w:val="008446E5"/>
    <w:rsid w:val="00845711"/>
    <w:rsid w:val="0084644E"/>
    <w:rsid w:val="0084774E"/>
    <w:rsid w:val="00847992"/>
    <w:rsid w:val="00851257"/>
    <w:rsid w:val="00852481"/>
    <w:rsid w:val="0085362C"/>
    <w:rsid w:val="008565EF"/>
    <w:rsid w:val="0085705B"/>
    <w:rsid w:val="0086117C"/>
    <w:rsid w:val="008619A2"/>
    <w:rsid w:val="00862445"/>
    <w:rsid w:val="00865718"/>
    <w:rsid w:val="008729BD"/>
    <w:rsid w:val="008731DB"/>
    <w:rsid w:val="00874A2A"/>
    <w:rsid w:val="00874E98"/>
    <w:rsid w:val="00876481"/>
    <w:rsid w:val="00877BF4"/>
    <w:rsid w:val="008820AC"/>
    <w:rsid w:val="00882843"/>
    <w:rsid w:val="00882B92"/>
    <w:rsid w:val="00884032"/>
    <w:rsid w:val="00886067"/>
    <w:rsid w:val="0089076F"/>
    <w:rsid w:val="00891D9D"/>
    <w:rsid w:val="00891FE8"/>
    <w:rsid w:val="0089254E"/>
    <w:rsid w:val="008925B6"/>
    <w:rsid w:val="00892D0D"/>
    <w:rsid w:val="008936DA"/>
    <w:rsid w:val="00895DE5"/>
    <w:rsid w:val="008969A3"/>
    <w:rsid w:val="00897C44"/>
    <w:rsid w:val="008A02A4"/>
    <w:rsid w:val="008A250D"/>
    <w:rsid w:val="008A2AB3"/>
    <w:rsid w:val="008A4CB7"/>
    <w:rsid w:val="008A7181"/>
    <w:rsid w:val="008B1103"/>
    <w:rsid w:val="008B4485"/>
    <w:rsid w:val="008B66CB"/>
    <w:rsid w:val="008B7558"/>
    <w:rsid w:val="008C1959"/>
    <w:rsid w:val="008C384C"/>
    <w:rsid w:val="008C45A1"/>
    <w:rsid w:val="008C4946"/>
    <w:rsid w:val="008C4BCF"/>
    <w:rsid w:val="008C4C9D"/>
    <w:rsid w:val="008C735B"/>
    <w:rsid w:val="008D0006"/>
    <w:rsid w:val="008D581E"/>
    <w:rsid w:val="008D6A34"/>
    <w:rsid w:val="008E1C2D"/>
    <w:rsid w:val="008E237E"/>
    <w:rsid w:val="008E2C68"/>
    <w:rsid w:val="008E313D"/>
    <w:rsid w:val="008E4D94"/>
    <w:rsid w:val="008E500A"/>
    <w:rsid w:val="008E55BB"/>
    <w:rsid w:val="008E596F"/>
    <w:rsid w:val="008F00A0"/>
    <w:rsid w:val="008F15A7"/>
    <w:rsid w:val="008F331F"/>
    <w:rsid w:val="008F392F"/>
    <w:rsid w:val="008F49CF"/>
    <w:rsid w:val="008F5EE6"/>
    <w:rsid w:val="008F784D"/>
    <w:rsid w:val="009000D5"/>
    <w:rsid w:val="009000E1"/>
    <w:rsid w:val="00900850"/>
    <w:rsid w:val="0090140F"/>
    <w:rsid w:val="009039A9"/>
    <w:rsid w:val="00905349"/>
    <w:rsid w:val="00906DB5"/>
    <w:rsid w:val="00907A88"/>
    <w:rsid w:val="00907DEC"/>
    <w:rsid w:val="009105CE"/>
    <w:rsid w:val="009108A4"/>
    <w:rsid w:val="0091217D"/>
    <w:rsid w:val="00912E33"/>
    <w:rsid w:val="009136F4"/>
    <w:rsid w:val="009145A4"/>
    <w:rsid w:val="00914663"/>
    <w:rsid w:val="00915DC3"/>
    <w:rsid w:val="00916C69"/>
    <w:rsid w:val="009244CB"/>
    <w:rsid w:val="00930287"/>
    <w:rsid w:val="0093716C"/>
    <w:rsid w:val="009413CD"/>
    <w:rsid w:val="009419FC"/>
    <w:rsid w:val="00942548"/>
    <w:rsid w:val="00944D84"/>
    <w:rsid w:val="009452A6"/>
    <w:rsid w:val="00946DB4"/>
    <w:rsid w:val="00953F0B"/>
    <w:rsid w:val="0095535E"/>
    <w:rsid w:val="0095744D"/>
    <w:rsid w:val="009642ED"/>
    <w:rsid w:val="00964D53"/>
    <w:rsid w:val="00965DFA"/>
    <w:rsid w:val="00971290"/>
    <w:rsid w:val="00971586"/>
    <w:rsid w:val="00971AC9"/>
    <w:rsid w:val="00972DF5"/>
    <w:rsid w:val="00974944"/>
    <w:rsid w:val="0097629C"/>
    <w:rsid w:val="0098088F"/>
    <w:rsid w:val="00985AC8"/>
    <w:rsid w:val="00987330"/>
    <w:rsid w:val="00991529"/>
    <w:rsid w:val="00996D88"/>
    <w:rsid w:val="00997336"/>
    <w:rsid w:val="009A26D2"/>
    <w:rsid w:val="009A299E"/>
    <w:rsid w:val="009A2ED1"/>
    <w:rsid w:val="009A348B"/>
    <w:rsid w:val="009A4CDC"/>
    <w:rsid w:val="009A7BA1"/>
    <w:rsid w:val="009B02A8"/>
    <w:rsid w:val="009B0628"/>
    <w:rsid w:val="009B1F80"/>
    <w:rsid w:val="009B56DD"/>
    <w:rsid w:val="009B76CC"/>
    <w:rsid w:val="009B78FC"/>
    <w:rsid w:val="009C2191"/>
    <w:rsid w:val="009C2E1F"/>
    <w:rsid w:val="009C4698"/>
    <w:rsid w:val="009C4C9F"/>
    <w:rsid w:val="009C7156"/>
    <w:rsid w:val="009D0DDF"/>
    <w:rsid w:val="009D2261"/>
    <w:rsid w:val="009D3AEA"/>
    <w:rsid w:val="009D5768"/>
    <w:rsid w:val="009D597E"/>
    <w:rsid w:val="009D59EC"/>
    <w:rsid w:val="009D76A8"/>
    <w:rsid w:val="009D7BA4"/>
    <w:rsid w:val="009E18D0"/>
    <w:rsid w:val="009E1FEB"/>
    <w:rsid w:val="009E2830"/>
    <w:rsid w:val="009E3E0D"/>
    <w:rsid w:val="009E4E6D"/>
    <w:rsid w:val="009E6836"/>
    <w:rsid w:val="009E698E"/>
    <w:rsid w:val="009F2FA1"/>
    <w:rsid w:val="00A05049"/>
    <w:rsid w:val="00A063B7"/>
    <w:rsid w:val="00A06FC3"/>
    <w:rsid w:val="00A0751F"/>
    <w:rsid w:val="00A11F3E"/>
    <w:rsid w:val="00A1393C"/>
    <w:rsid w:val="00A15C38"/>
    <w:rsid w:val="00A16FA8"/>
    <w:rsid w:val="00A22DBF"/>
    <w:rsid w:val="00A257C7"/>
    <w:rsid w:val="00A2742F"/>
    <w:rsid w:val="00A303B3"/>
    <w:rsid w:val="00A330F8"/>
    <w:rsid w:val="00A3320B"/>
    <w:rsid w:val="00A34561"/>
    <w:rsid w:val="00A373DD"/>
    <w:rsid w:val="00A37779"/>
    <w:rsid w:val="00A4116A"/>
    <w:rsid w:val="00A41B15"/>
    <w:rsid w:val="00A43D68"/>
    <w:rsid w:val="00A44033"/>
    <w:rsid w:val="00A441B9"/>
    <w:rsid w:val="00A44DEB"/>
    <w:rsid w:val="00A450FD"/>
    <w:rsid w:val="00A455AA"/>
    <w:rsid w:val="00A51AA9"/>
    <w:rsid w:val="00A54F85"/>
    <w:rsid w:val="00A55694"/>
    <w:rsid w:val="00A57050"/>
    <w:rsid w:val="00A574C7"/>
    <w:rsid w:val="00A57AB9"/>
    <w:rsid w:val="00A606DD"/>
    <w:rsid w:val="00A61B4D"/>
    <w:rsid w:val="00A644BE"/>
    <w:rsid w:val="00A67C25"/>
    <w:rsid w:val="00A67CB3"/>
    <w:rsid w:val="00A70177"/>
    <w:rsid w:val="00A70F8C"/>
    <w:rsid w:val="00A71C0C"/>
    <w:rsid w:val="00A727BE"/>
    <w:rsid w:val="00A729D1"/>
    <w:rsid w:val="00A73F18"/>
    <w:rsid w:val="00A7484C"/>
    <w:rsid w:val="00A74DA6"/>
    <w:rsid w:val="00A75CA2"/>
    <w:rsid w:val="00A82E40"/>
    <w:rsid w:val="00A84529"/>
    <w:rsid w:val="00A84BE7"/>
    <w:rsid w:val="00A84DDA"/>
    <w:rsid w:val="00A85B49"/>
    <w:rsid w:val="00A9072D"/>
    <w:rsid w:val="00A9110F"/>
    <w:rsid w:val="00A91826"/>
    <w:rsid w:val="00A919F6"/>
    <w:rsid w:val="00A96915"/>
    <w:rsid w:val="00A96E91"/>
    <w:rsid w:val="00AA1F9B"/>
    <w:rsid w:val="00AA3DC2"/>
    <w:rsid w:val="00AA3FFB"/>
    <w:rsid w:val="00AA407A"/>
    <w:rsid w:val="00AB1239"/>
    <w:rsid w:val="00AB252B"/>
    <w:rsid w:val="00AB2835"/>
    <w:rsid w:val="00AB647B"/>
    <w:rsid w:val="00AC2C03"/>
    <w:rsid w:val="00AC6CAE"/>
    <w:rsid w:val="00AD4FA7"/>
    <w:rsid w:val="00AD58DC"/>
    <w:rsid w:val="00AE03BE"/>
    <w:rsid w:val="00AE232E"/>
    <w:rsid w:val="00AE48BB"/>
    <w:rsid w:val="00AE6CD1"/>
    <w:rsid w:val="00AF00C4"/>
    <w:rsid w:val="00AF13CD"/>
    <w:rsid w:val="00AF5F4F"/>
    <w:rsid w:val="00AF5F9E"/>
    <w:rsid w:val="00AF7986"/>
    <w:rsid w:val="00B020F2"/>
    <w:rsid w:val="00B0223B"/>
    <w:rsid w:val="00B03E60"/>
    <w:rsid w:val="00B064BE"/>
    <w:rsid w:val="00B073F3"/>
    <w:rsid w:val="00B07643"/>
    <w:rsid w:val="00B07A69"/>
    <w:rsid w:val="00B14019"/>
    <w:rsid w:val="00B14277"/>
    <w:rsid w:val="00B14D34"/>
    <w:rsid w:val="00B21BCE"/>
    <w:rsid w:val="00B2233C"/>
    <w:rsid w:val="00B2298B"/>
    <w:rsid w:val="00B244EA"/>
    <w:rsid w:val="00B27D55"/>
    <w:rsid w:val="00B27E2E"/>
    <w:rsid w:val="00B307BC"/>
    <w:rsid w:val="00B32811"/>
    <w:rsid w:val="00B33662"/>
    <w:rsid w:val="00B351CE"/>
    <w:rsid w:val="00B37368"/>
    <w:rsid w:val="00B37423"/>
    <w:rsid w:val="00B40AC4"/>
    <w:rsid w:val="00B40FA8"/>
    <w:rsid w:val="00B416B5"/>
    <w:rsid w:val="00B428B4"/>
    <w:rsid w:val="00B42A12"/>
    <w:rsid w:val="00B443BE"/>
    <w:rsid w:val="00B5080C"/>
    <w:rsid w:val="00B5517F"/>
    <w:rsid w:val="00B55CB1"/>
    <w:rsid w:val="00B62CD6"/>
    <w:rsid w:val="00B62DB8"/>
    <w:rsid w:val="00B63A45"/>
    <w:rsid w:val="00B64659"/>
    <w:rsid w:val="00B678AE"/>
    <w:rsid w:val="00B701D1"/>
    <w:rsid w:val="00B70466"/>
    <w:rsid w:val="00B70AF2"/>
    <w:rsid w:val="00B71A7E"/>
    <w:rsid w:val="00B71B9C"/>
    <w:rsid w:val="00B76164"/>
    <w:rsid w:val="00B77605"/>
    <w:rsid w:val="00B80ED8"/>
    <w:rsid w:val="00B811A1"/>
    <w:rsid w:val="00B82005"/>
    <w:rsid w:val="00B870EB"/>
    <w:rsid w:val="00B92AFD"/>
    <w:rsid w:val="00B9335F"/>
    <w:rsid w:val="00B94DCA"/>
    <w:rsid w:val="00B96C69"/>
    <w:rsid w:val="00B97B79"/>
    <w:rsid w:val="00BA3CB7"/>
    <w:rsid w:val="00BA4E9D"/>
    <w:rsid w:val="00BA600A"/>
    <w:rsid w:val="00BA6477"/>
    <w:rsid w:val="00BB1C02"/>
    <w:rsid w:val="00BB2451"/>
    <w:rsid w:val="00BB2F60"/>
    <w:rsid w:val="00BB32DD"/>
    <w:rsid w:val="00BB38E6"/>
    <w:rsid w:val="00BC4375"/>
    <w:rsid w:val="00BC4D0D"/>
    <w:rsid w:val="00BC54FE"/>
    <w:rsid w:val="00BC5703"/>
    <w:rsid w:val="00BC5718"/>
    <w:rsid w:val="00BD1915"/>
    <w:rsid w:val="00BD2053"/>
    <w:rsid w:val="00BD33F2"/>
    <w:rsid w:val="00BD3A8D"/>
    <w:rsid w:val="00BD3E45"/>
    <w:rsid w:val="00BE032D"/>
    <w:rsid w:val="00BE2354"/>
    <w:rsid w:val="00BE277A"/>
    <w:rsid w:val="00BF0E75"/>
    <w:rsid w:val="00BF26DC"/>
    <w:rsid w:val="00BF460A"/>
    <w:rsid w:val="00BF56C8"/>
    <w:rsid w:val="00BF6010"/>
    <w:rsid w:val="00BF6CCC"/>
    <w:rsid w:val="00BF72C1"/>
    <w:rsid w:val="00C00959"/>
    <w:rsid w:val="00C00B7D"/>
    <w:rsid w:val="00C00F64"/>
    <w:rsid w:val="00C01B87"/>
    <w:rsid w:val="00C02F10"/>
    <w:rsid w:val="00C03397"/>
    <w:rsid w:val="00C03FD1"/>
    <w:rsid w:val="00C054B1"/>
    <w:rsid w:val="00C0609C"/>
    <w:rsid w:val="00C15159"/>
    <w:rsid w:val="00C20007"/>
    <w:rsid w:val="00C22E91"/>
    <w:rsid w:val="00C25470"/>
    <w:rsid w:val="00C27022"/>
    <w:rsid w:val="00C27F74"/>
    <w:rsid w:val="00C31636"/>
    <w:rsid w:val="00C32191"/>
    <w:rsid w:val="00C328A3"/>
    <w:rsid w:val="00C36105"/>
    <w:rsid w:val="00C37D14"/>
    <w:rsid w:val="00C421EE"/>
    <w:rsid w:val="00C42A3D"/>
    <w:rsid w:val="00C43D77"/>
    <w:rsid w:val="00C459CF"/>
    <w:rsid w:val="00C460F9"/>
    <w:rsid w:val="00C542EA"/>
    <w:rsid w:val="00C5532D"/>
    <w:rsid w:val="00C62D68"/>
    <w:rsid w:val="00C63CEF"/>
    <w:rsid w:val="00C641B0"/>
    <w:rsid w:val="00C64487"/>
    <w:rsid w:val="00C64B17"/>
    <w:rsid w:val="00C64BA4"/>
    <w:rsid w:val="00C64FF6"/>
    <w:rsid w:val="00C66475"/>
    <w:rsid w:val="00C6713F"/>
    <w:rsid w:val="00C70DBC"/>
    <w:rsid w:val="00C7197A"/>
    <w:rsid w:val="00C72BE4"/>
    <w:rsid w:val="00C76602"/>
    <w:rsid w:val="00C77717"/>
    <w:rsid w:val="00C77853"/>
    <w:rsid w:val="00C82A20"/>
    <w:rsid w:val="00C8368B"/>
    <w:rsid w:val="00C846CB"/>
    <w:rsid w:val="00C84C5A"/>
    <w:rsid w:val="00C85AB9"/>
    <w:rsid w:val="00C85AE7"/>
    <w:rsid w:val="00C872E3"/>
    <w:rsid w:val="00C90E6C"/>
    <w:rsid w:val="00C91BD3"/>
    <w:rsid w:val="00C923AC"/>
    <w:rsid w:val="00C9304A"/>
    <w:rsid w:val="00C94564"/>
    <w:rsid w:val="00C947CA"/>
    <w:rsid w:val="00C96522"/>
    <w:rsid w:val="00C96A39"/>
    <w:rsid w:val="00C96CEA"/>
    <w:rsid w:val="00C97F01"/>
    <w:rsid w:val="00CA1A7E"/>
    <w:rsid w:val="00CA5CFD"/>
    <w:rsid w:val="00CB00F5"/>
    <w:rsid w:val="00CC3AA3"/>
    <w:rsid w:val="00CC63B4"/>
    <w:rsid w:val="00CC6FFC"/>
    <w:rsid w:val="00CD1F81"/>
    <w:rsid w:val="00CD3E4B"/>
    <w:rsid w:val="00CD5076"/>
    <w:rsid w:val="00CD679F"/>
    <w:rsid w:val="00CE0758"/>
    <w:rsid w:val="00CE2A47"/>
    <w:rsid w:val="00CE4140"/>
    <w:rsid w:val="00CF1D33"/>
    <w:rsid w:val="00CF548E"/>
    <w:rsid w:val="00CF60E6"/>
    <w:rsid w:val="00CF64B7"/>
    <w:rsid w:val="00D00240"/>
    <w:rsid w:val="00D01B30"/>
    <w:rsid w:val="00D01C88"/>
    <w:rsid w:val="00D03792"/>
    <w:rsid w:val="00D038FD"/>
    <w:rsid w:val="00D03C96"/>
    <w:rsid w:val="00D04934"/>
    <w:rsid w:val="00D04E13"/>
    <w:rsid w:val="00D0547F"/>
    <w:rsid w:val="00D05EDA"/>
    <w:rsid w:val="00D068EA"/>
    <w:rsid w:val="00D072C9"/>
    <w:rsid w:val="00D07FDF"/>
    <w:rsid w:val="00D1087B"/>
    <w:rsid w:val="00D12470"/>
    <w:rsid w:val="00D1276D"/>
    <w:rsid w:val="00D12CE1"/>
    <w:rsid w:val="00D14BF7"/>
    <w:rsid w:val="00D14F90"/>
    <w:rsid w:val="00D17C2A"/>
    <w:rsid w:val="00D22CD5"/>
    <w:rsid w:val="00D23A6B"/>
    <w:rsid w:val="00D258B8"/>
    <w:rsid w:val="00D27759"/>
    <w:rsid w:val="00D318AF"/>
    <w:rsid w:val="00D31E6B"/>
    <w:rsid w:val="00D3200E"/>
    <w:rsid w:val="00D33297"/>
    <w:rsid w:val="00D3698C"/>
    <w:rsid w:val="00D376D0"/>
    <w:rsid w:val="00D40AD9"/>
    <w:rsid w:val="00D40B8C"/>
    <w:rsid w:val="00D44CF4"/>
    <w:rsid w:val="00D44EDE"/>
    <w:rsid w:val="00D46B85"/>
    <w:rsid w:val="00D472B0"/>
    <w:rsid w:val="00D52359"/>
    <w:rsid w:val="00D52421"/>
    <w:rsid w:val="00D54C03"/>
    <w:rsid w:val="00D57556"/>
    <w:rsid w:val="00D61706"/>
    <w:rsid w:val="00D62662"/>
    <w:rsid w:val="00D647C3"/>
    <w:rsid w:val="00D64AC2"/>
    <w:rsid w:val="00D64DFB"/>
    <w:rsid w:val="00D65B4B"/>
    <w:rsid w:val="00D72558"/>
    <w:rsid w:val="00D730CF"/>
    <w:rsid w:val="00D7437C"/>
    <w:rsid w:val="00D74DB4"/>
    <w:rsid w:val="00D75A6A"/>
    <w:rsid w:val="00D75FB1"/>
    <w:rsid w:val="00D81074"/>
    <w:rsid w:val="00D816BA"/>
    <w:rsid w:val="00D862F7"/>
    <w:rsid w:val="00D87164"/>
    <w:rsid w:val="00D871E7"/>
    <w:rsid w:val="00D8725F"/>
    <w:rsid w:val="00D92A34"/>
    <w:rsid w:val="00D94C54"/>
    <w:rsid w:val="00D959E0"/>
    <w:rsid w:val="00D9651B"/>
    <w:rsid w:val="00D97963"/>
    <w:rsid w:val="00DA0BF1"/>
    <w:rsid w:val="00DA2DD0"/>
    <w:rsid w:val="00DA35F8"/>
    <w:rsid w:val="00DA3678"/>
    <w:rsid w:val="00DB3505"/>
    <w:rsid w:val="00DB3C1F"/>
    <w:rsid w:val="00DB6CBE"/>
    <w:rsid w:val="00DB6DAD"/>
    <w:rsid w:val="00DC0327"/>
    <w:rsid w:val="00DC0B84"/>
    <w:rsid w:val="00DC0D04"/>
    <w:rsid w:val="00DC2E5F"/>
    <w:rsid w:val="00DC3BE1"/>
    <w:rsid w:val="00DC531C"/>
    <w:rsid w:val="00DC6319"/>
    <w:rsid w:val="00DD005D"/>
    <w:rsid w:val="00DD0F96"/>
    <w:rsid w:val="00DD1791"/>
    <w:rsid w:val="00DD33A3"/>
    <w:rsid w:val="00DD6555"/>
    <w:rsid w:val="00DD7975"/>
    <w:rsid w:val="00DE23C0"/>
    <w:rsid w:val="00DE2686"/>
    <w:rsid w:val="00DE53F8"/>
    <w:rsid w:val="00DF4C3B"/>
    <w:rsid w:val="00DF53BE"/>
    <w:rsid w:val="00DF7802"/>
    <w:rsid w:val="00E00D7D"/>
    <w:rsid w:val="00E01E67"/>
    <w:rsid w:val="00E04314"/>
    <w:rsid w:val="00E04C2D"/>
    <w:rsid w:val="00E139AC"/>
    <w:rsid w:val="00E158F1"/>
    <w:rsid w:val="00E160B4"/>
    <w:rsid w:val="00E17D78"/>
    <w:rsid w:val="00E216F7"/>
    <w:rsid w:val="00E22094"/>
    <w:rsid w:val="00E2674B"/>
    <w:rsid w:val="00E26A14"/>
    <w:rsid w:val="00E3238F"/>
    <w:rsid w:val="00E33F63"/>
    <w:rsid w:val="00E36ED3"/>
    <w:rsid w:val="00E370AE"/>
    <w:rsid w:val="00E430B1"/>
    <w:rsid w:val="00E43C1F"/>
    <w:rsid w:val="00E45EFE"/>
    <w:rsid w:val="00E4638D"/>
    <w:rsid w:val="00E52BE3"/>
    <w:rsid w:val="00E52DEA"/>
    <w:rsid w:val="00E534E5"/>
    <w:rsid w:val="00E55B46"/>
    <w:rsid w:val="00E564BB"/>
    <w:rsid w:val="00E60E60"/>
    <w:rsid w:val="00E67491"/>
    <w:rsid w:val="00E714A2"/>
    <w:rsid w:val="00E71A03"/>
    <w:rsid w:val="00E775EA"/>
    <w:rsid w:val="00E83BB2"/>
    <w:rsid w:val="00E84345"/>
    <w:rsid w:val="00E84D12"/>
    <w:rsid w:val="00E87CE1"/>
    <w:rsid w:val="00E90D45"/>
    <w:rsid w:val="00E91A7B"/>
    <w:rsid w:val="00E9380F"/>
    <w:rsid w:val="00E93DFD"/>
    <w:rsid w:val="00E94FFB"/>
    <w:rsid w:val="00E95A33"/>
    <w:rsid w:val="00E95FED"/>
    <w:rsid w:val="00EA2868"/>
    <w:rsid w:val="00EA39EE"/>
    <w:rsid w:val="00EA486D"/>
    <w:rsid w:val="00EA53E1"/>
    <w:rsid w:val="00EA6268"/>
    <w:rsid w:val="00EB2E7C"/>
    <w:rsid w:val="00EB3AD1"/>
    <w:rsid w:val="00EB4B4B"/>
    <w:rsid w:val="00EB6C23"/>
    <w:rsid w:val="00EB6DA9"/>
    <w:rsid w:val="00EB776F"/>
    <w:rsid w:val="00EB7F38"/>
    <w:rsid w:val="00EC00DA"/>
    <w:rsid w:val="00EC1E69"/>
    <w:rsid w:val="00EC293D"/>
    <w:rsid w:val="00EC37F9"/>
    <w:rsid w:val="00EC43A0"/>
    <w:rsid w:val="00EC54BC"/>
    <w:rsid w:val="00EC5612"/>
    <w:rsid w:val="00EC658F"/>
    <w:rsid w:val="00EC7275"/>
    <w:rsid w:val="00ED08AE"/>
    <w:rsid w:val="00ED2EF4"/>
    <w:rsid w:val="00ED35E1"/>
    <w:rsid w:val="00ED3E54"/>
    <w:rsid w:val="00ED4F2F"/>
    <w:rsid w:val="00ED70FC"/>
    <w:rsid w:val="00ED7A67"/>
    <w:rsid w:val="00ED7D0C"/>
    <w:rsid w:val="00EE1E3A"/>
    <w:rsid w:val="00EE35F1"/>
    <w:rsid w:val="00EE5021"/>
    <w:rsid w:val="00EE796C"/>
    <w:rsid w:val="00EF0DB0"/>
    <w:rsid w:val="00EF177B"/>
    <w:rsid w:val="00EF4302"/>
    <w:rsid w:val="00F03668"/>
    <w:rsid w:val="00F046AD"/>
    <w:rsid w:val="00F052AC"/>
    <w:rsid w:val="00F05D5F"/>
    <w:rsid w:val="00F06253"/>
    <w:rsid w:val="00F0652E"/>
    <w:rsid w:val="00F11ED4"/>
    <w:rsid w:val="00F1269E"/>
    <w:rsid w:val="00F14AA7"/>
    <w:rsid w:val="00F1693C"/>
    <w:rsid w:val="00F178B2"/>
    <w:rsid w:val="00F17D45"/>
    <w:rsid w:val="00F2231E"/>
    <w:rsid w:val="00F224EA"/>
    <w:rsid w:val="00F22B54"/>
    <w:rsid w:val="00F25F68"/>
    <w:rsid w:val="00F300B5"/>
    <w:rsid w:val="00F30AA7"/>
    <w:rsid w:val="00F34992"/>
    <w:rsid w:val="00F35022"/>
    <w:rsid w:val="00F36F04"/>
    <w:rsid w:val="00F37133"/>
    <w:rsid w:val="00F37522"/>
    <w:rsid w:val="00F37C90"/>
    <w:rsid w:val="00F37CC9"/>
    <w:rsid w:val="00F41FE0"/>
    <w:rsid w:val="00F42061"/>
    <w:rsid w:val="00F471B3"/>
    <w:rsid w:val="00F50CE6"/>
    <w:rsid w:val="00F51AF7"/>
    <w:rsid w:val="00F544EE"/>
    <w:rsid w:val="00F55520"/>
    <w:rsid w:val="00F570CA"/>
    <w:rsid w:val="00F57659"/>
    <w:rsid w:val="00F6290D"/>
    <w:rsid w:val="00F63102"/>
    <w:rsid w:val="00F642F8"/>
    <w:rsid w:val="00F64B23"/>
    <w:rsid w:val="00F65230"/>
    <w:rsid w:val="00F71C5B"/>
    <w:rsid w:val="00F728CA"/>
    <w:rsid w:val="00F7328C"/>
    <w:rsid w:val="00F737CC"/>
    <w:rsid w:val="00F763EB"/>
    <w:rsid w:val="00F76609"/>
    <w:rsid w:val="00F77029"/>
    <w:rsid w:val="00F80459"/>
    <w:rsid w:val="00F82F12"/>
    <w:rsid w:val="00F838EE"/>
    <w:rsid w:val="00F86AAD"/>
    <w:rsid w:val="00F87738"/>
    <w:rsid w:val="00F90DF1"/>
    <w:rsid w:val="00F91FA7"/>
    <w:rsid w:val="00F92276"/>
    <w:rsid w:val="00F93F47"/>
    <w:rsid w:val="00F9483E"/>
    <w:rsid w:val="00F97292"/>
    <w:rsid w:val="00FA14DC"/>
    <w:rsid w:val="00FA59CB"/>
    <w:rsid w:val="00FA7201"/>
    <w:rsid w:val="00FC052E"/>
    <w:rsid w:val="00FC0888"/>
    <w:rsid w:val="00FC0C1D"/>
    <w:rsid w:val="00FC1BAB"/>
    <w:rsid w:val="00FC46E9"/>
    <w:rsid w:val="00FC681C"/>
    <w:rsid w:val="00FC69C4"/>
    <w:rsid w:val="00FC7151"/>
    <w:rsid w:val="00FD0AE3"/>
    <w:rsid w:val="00FD4A88"/>
    <w:rsid w:val="00FD5042"/>
    <w:rsid w:val="00FD579F"/>
    <w:rsid w:val="00FE08FE"/>
    <w:rsid w:val="00FF0512"/>
    <w:rsid w:val="00FF07AC"/>
    <w:rsid w:val="00FF1F59"/>
    <w:rsid w:val="00FF2DE2"/>
    <w:rsid w:val="00FF6D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7A"/>
    <w:pPr>
      <w:spacing w:after="200" w:line="276" w:lineRule="auto"/>
    </w:pPr>
    <w:rPr>
      <w:lang w:val="lt-L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237EC"/>
    <w:pPr>
      <w:tabs>
        <w:tab w:val="center" w:pos="4819"/>
        <w:tab w:val="right" w:pos="9638"/>
      </w:tabs>
      <w:spacing w:after="0" w:line="240" w:lineRule="auto"/>
      <w:jc w:val="center"/>
    </w:pPr>
    <w:rPr>
      <w:sz w:val="20"/>
      <w:szCs w:val="20"/>
      <w:lang w:val="ru-RU" w:eastAsia="lt-LT"/>
    </w:rPr>
  </w:style>
  <w:style w:type="character" w:customStyle="1" w:styleId="FooterChar">
    <w:name w:val="Footer Char"/>
    <w:basedOn w:val="DefaultParagraphFont"/>
    <w:link w:val="Footer"/>
    <w:uiPriority w:val="99"/>
    <w:locked/>
    <w:rsid w:val="007237EC"/>
  </w:style>
  <w:style w:type="paragraph" w:customStyle="1" w:styleId="prastasis1">
    <w:name w:val="Įprastasis1"/>
    <w:basedOn w:val="Normal"/>
    <w:uiPriority w:val="99"/>
    <w:rsid w:val="009419FC"/>
    <w:pPr>
      <w:spacing w:before="100" w:beforeAutospacing="1" w:after="100" w:afterAutospacing="1" w:line="240" w:lineRule="auto"/>
    </w:pPr>
    <w:rPr>
      <w:rFonts w:ascii="Verdana" w:hAnsi="Verdana"/>
      <w:color w:val="000000"/>
      <w:sz w:val="20"/>
      <w:szCs w:val="20"/>
      <w:lang w:eastAsia="lt-LT"/>
    </w:rPr>
  </w:style>
  <w:style w:type="character" w:styleId="Strong">
    <w:name w:val="Strong"/>
    <w:basedOn w:val="DefaultParagraphFont"/>
    <w:uiPriority w:val="99"/>
    <w:qFormat/>
    <w:rsid w:val="009419FC"/>
    <w:rPr>
      <w:rFonts w:cs="Times New Roman"/>
      <w:b/>
    </w:rPr>
  </w:style>
  <w:style w:type="character" w:styleId="Emphasis">
    <w:name w:val="Emphasis"/>
    <w:basedOn w:val="DefaultParagraphFont"/>
    <w:uiPriority w:val="99"/>
    <w:qFormat/>
    <w:rsid w:val="009419FC"/>
    <w:rPr>
      <w:rFonts w:cs="Times New Roman"/>
      <w:i/>
    </w:rPr>
  </w:style>
  <w:style w:type="paragraph" w:styleId="FootnoteText">
    <w:name w:val="footnote text"/>
    <w:basedOn w:val="Normal"/>
    <w:link w:val="FootnoteTextChar"/>
    <w:uiPriority w:val="99"/>
    <w:semiHidden/>
    <w:rsid w:val="007C6A27"/>
    <w:pPr>
      <w:spacing w:after="0" w:line="240" w:lineRule="auto"/>
    </w:pPr>
    <w:rPr>
      <w:sz w:val="20"/>
      <w:szCs w:val="20"/>
      <w:lang w:val="ru-RU"/>
    </w:rPr>
  </w:style>
  <w:style w:type="character" w:customStyle="1" w:styleId="FootnoteTextChar">
    <w:name w:val="Footnote Text Char"/>
    <w:basedOn w:val="DefaultParagraphFont"/>
    <w:link w:val="FootnoteText"/>
    <w:uiPriority w:val="99"/>
    <w:semiHidden/>
    <w:locked/>
    <w:rsid w:val="007C6A27"/>
    <w:rPr>
      <w:rFonts w:eastAsia="Times New Roman"/>
      <w:lang w:eastAsia="en-US"/>
    </w:rPr>
  </w:style>
  <w:style w:type="character" w:styleId="FootnoteReference">
    <w:name w:val="footnote reference"/>
    <w:basedOn w:val="DefaultParagraphFont"/>
    <w:uiPriority w:val="99"/>
    <w:semiHidden/>
    <w:rsid w:val="007C6A27"/>
    <w:rPr>
      <w:rFonts w:cs="Times New Roman"/>
      <w:vertAlign w:val="superscript"/>
    </w:rPr>
  </w:style>
  <w:style w:type="paragraph" w:styleId="BalloonText">
    <w:name w:val="Balloon Text"/>
    <w:basedOn w:val="Normal"/>
    <w:link w:val="BalloonTextChar"/>
    <w:uiPriority w:val="99"/>
    <w:semiHidden/>
    <w:rsid w:val="00EC7275"/>
    <w:pPr>
      <w:spacing w:after="0" w:line="240" w:lineRule="auto"/>
    </w:pPr>
    <w:rPr>
      <w:rFonts w:ascii="Tahoma" w:hAnsi="Tahoma"/>
      <w:sz w:val="16"/>
      <w:szCs w:val="16"/>
      <w:lang w:val="ru-RU"/>
    </w:rPr>
  </w:style>
  <w:style w:type="character" w:customStyle="1" w:styleId="BalloonTextChar">
    <w:name w:val="Balloon Text Char"/>
    <w:basedOn w:val="DefaultParagraphFont"/>
    <w:link w:val="BalloonText"/>
    <w:uiPriority w:val="99"/>
    <w:semiHidden/>
    <w:locked/>
    <w:rsid w:val="00EC7275"/>
    <w:rPr>
      <w:rFonts w:ascii="Tahoma" w:hAnsi="Tahoma"/>
      <w:sz w:val="16"/>
      <w:lang w:eastAsia="en-US"/>
    </w:rPr>
  </w:style>
  <w:style w:type="paragraph" w:customStyle="1" w:styleId="Sraopastraipa1">
    <w:name w:val="Sąrašo pastraipa1"/>
    <w:basedOn w:val="Normal"/>
    <w:uiPriority w:val="99"/>
    <w:rsid w:val="00E01E67"/>
    <w:pPr>
      <w:spacing w:after="0" w:line="240" w:lineRule="auto"/>
      <w:ind w:left="720"/>
      <w:contextualSpacing/>
    </w:pPr>
  </w:style>
  <w:style w:type="character" w:styleId="CommentReference">
    <w:name w:val="annotation reference"/>
    <w:basedOn w:val="DefaultParagraphFont"/>
    <w:uiPriority w:val="99"/>
    <w:semiHidden/>
    <w:rsid w:val="00474A2D"/>
    <w:rPr>
      <w:rFonts w:cs="Times New Roman"/>
      <w:sz w:val="16"/>
    </w:rPr>
  </w:style>
  <w:style w:type="paragraph" w:styleId="CommentText">
    <w:name w:val="annotation text"/>
    <w:basedOn w:val="Normal"/>
    <w:link w:val="CommentTextChar"/>
    <w:uiPriority w:val="99"/>
    <w:semiHidden/>
    <w:rsid w:val="00474A2D"/>
    <w:rPr>
      <w:sz w:val="20"/>
      <w:szCs w:val="20"/>
      <w:lang w:val="ru-RU"/>
    </w:rPr>
  </w:style>
  <w:style w:type="character" w:customStyle="1" w:styleId="CommentTextChar">
    <w:name w:val="Comment Text Char"/>
    <w:basedOn w:val="DefaultParagraphFont"/>
    <w:link w:val="CommentText"/>
    <w:uiPriority w:val="99"/>
    <w:semiHidden/>
    <w:locked/>
    <w:rsid w:val="00474A2D"/>
    <w:rPr>
      <w:lang w:eastAsia="en-US"/>
    </w:rPr>
  </w:style>
  <w:style w:type="paragraph" w:customStyle="1" w:styleId="4Chapeau">
    <w:name w:val="4 Chapeau"/>
    <w:basedOn w:val="Normal"/>
    <w:next w:val="Normal"/>
    <w:autoRedefine/>
    <w:uiPriority w:val="99"/>
    <w:rsid w:val="00474A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0" w:line="240" w:lineRule="auto"/>
      <w:jc w:val="both"/>
    </w:pPr>
    <w:rPr>
      <w:rFonts w:ascii="Times New Roman" w:hAnsi="Times New Roman"/>
      <w:sz w:val="24"/>
      <w:szCs w:val="24"/>
      <w:lang w:eastAsia="en-GB"/>
    </w:rPr>
  </w:style>
  <w:style w:type="paragraph" w:customStyle="1" w:styleId="Pagrindinistekstas1">
    <w:name w:val="Pagrindinis tekstas1"/>
    <w:basedOn w:val="Normal"/>
    <w:uiPriority w:val="99"/>
    <w:rsid w:val="00474A2D"/>
    <w:pPr>
      <w:suppressAutoHyphens/>
      <w:autoSpaceDE w:val="0"/>
      <w:autoSpaceDN w:val="0"/>
      <w:adjustRightInd w:val="0"/>
      <w:spacing w:after="0" w:line="298" w:lineRule="auto"/>
      <w:ind w:firstLine="312"/>
      <w:jc w:val="both"/>
      <w:textAlignment w:val="center"/>
    </w:pPr>
    <w:rPr>
      <w:rFonts w:ascii="Times New Roman" w:hAnsi="Times New Roman"/>
      <w:color w:val="000000"/>
      <w:sz w:val="20"/>
      <w:szCs w:val="20"/>
      <w:lang w:val="en-US" w:eastAsia="lt-LT"/>
    </w:rPr>
  </w:style>
  <w:style w:type="paragraph" w:styleId="BodyText2">
    <w:name w:val="Body Text 2"/>
    <w:basedOn w:val="Normal"/>
    <w:link w:val="BodyText2Char"/>
    <w:uiPriority w:val="99"/>
    <w:rsid w:val="00BF6010"/>
    <w:pPr>
      <w:spacing w:before="120" w:after="0" w:line="240" w:lineRule="auto"/>
      <w:jc w:val="center"/>
    </w:pPr>
    <w:rPr>
      <w:rFonts w:ascii="Times New Roman" w:hAnsi="Times New Roman"/>
      <w:b/>
      <w:sz w:val="24"/>
      <w:szCs w:val="20"/>
      <w:lang w:val="ru-RU"/>
    </w:rPr>
  </w:style>
  <w:style w:type="character" w:customStyle="1" w:styleId="BodyText2Char">
    <w:name w:val="Body Text 2 Char"/>
    <w:basedOn w:val="DefaultParagraphFont"/>
    <w:link w:val="BodyText2"/>
    <w:uiPriority w:val="99"/>
    <w:locked/>
    <w:rsid w:val="00BF6010"/>
    <w:rPr>
      <w:rFonts w:ascii="Times New Roman" w:hAnsi="Times New Roman"/>
      <w:b/>
      <w:sz w:val="24"/>
      <w:lang w:eastAsia="en-US"/>
    </w:rPr>
  </w:style>
  <w:style w:type="paragraph" w:styleId="Header">
    <w:name w:val="header"/>
    <w:basedOn w:val="Normal"/>
    <w:link w:val="HeaderChar"/>
    <w:uiPriority w:val="99"/>
    <w:rsid w:val="00771AA4"/>
    <w:pPr>
      <w:tabs>
        <w:tab w:val="center" w:pos="4819"/>
        <w:tab w:val="right" w:pos="9638"/>
      </w:tabs>
    </w:pPr>
    <w:rPr>
      <w:lang w:val="ru-RU"/>
    </w:rPr>
  </w:style>
  <w:style w:type="character" w:customStyle="1" w:styleId="HeaderChar">
    <w:name w:val="Header Char"/>
    <w:basedOn w:val="DefaultParagraphFont"/>
    <w:link w:val="Header"/>
    <w:uiPriority w:val="99"/>
    <w:locked/>
    <w:rsid w:val="00771AA4"/>
    <w:rPr>
      <w:sz w:val="22"/>
      <w:lang w:eastAsia="en-US"/>
    </w:rPr>
  </w:style>
  <w:style w:type="paragraph" w:styleId="CommentSubject">
    <w:name w:val="annotation subject"/>
    <w:basedOn w:val="CommentText"/>
    <w:next w:val="CommentText"/>
    <w:link w:val="CommentSubjectChar"/>
    <w:uiPriority w:val="99"/>
    <w:semiHidden/>
    <w:rsid w:val="00A43D68"/>
    <w:rPr>
      <w:b/>
      <w:bCs/>
    </w:rPr>
  </w:style>
  <w:style w:type="character" w:customStyle="1" w:styleId="CommentSubjectChar">
    <w:name w:val="Comment Subject Char"/>
    <w:basedOn w:val="CommentTextChar"/>
    <w:link w:val="CommentSubject"/>
    <w:uiPriority w:val="99"/>
    <w:semiHidden/>
    <w:locked/>
    <w:rsid w:val="00A43D68"/>
    <w:rPr>
      <w:b/>
    </w:rPr>
  </w:style>
  <w:style w:type="character" w:styleId="Hyperlink">
    <w:name w:val="Hyperlink"/>
    <w:basedOn w:val="DefaultParagraphFont"/>
    <w:uiPriority w:val="99"/>
    <w:rsid w:val="0036271A"/>
    <w:rPr>
      <w:rFonts w:cs="Times New Roman"/>
      <w:color w:val="0000FF"/>
      <w:u w:val="single"/>
    </w:rPr>
  </w:style>
  <w:style w:type="paragraph" w:customStyle="1" w:styleId="Betarp1">
    <w:name w:val="Be tarpų1"/>
    <w:uiPriority w:val="99"/>
    <w:rsid w:val="0036271A"/>
    <w:rPr>
      <w:lang w:val="lt-LT" w:eastAsia="en-US"/>
    </w:rPr>
  </w:style>
  <w:style w:type="paragraph" w:customStyle="1" w:styleId="Default">
    <w:name w:val="Default"/>
    <w:uiPriority w:val="99"/>
    <w:rsid w:val="00217545"/>
    <w:pPr>
      <w:autoSpaceDE w:val="0"/>
      <w:autoSpaceDN w:val="0"/>
      <w:adjustRightInd w:val="0"/>
    </w:pPr>
    <w:rPr>
      <w:rFonts w:ascii="Times New Roman" w:eastAsia="MS Mincho" w:hAnsi="Times New Roman"/>
      <w:color w:val="000000"/>
      <w:sz w:val="24"/>
      <w:szCs w:val="24"/>
      <w:lang w:val="lt-LT" w:eastAsia="ja-JP"/>
    </w:rPr>
  </w:style>
  <w:style w:type="paragraph" w:customStyle="1" w:styleId="statymopavad">
    <w:name w:val="statymopavad"/>
    <w:basedOn w:val="Normal"/>
    <w:uiPriority w:val="99"/>
    <w:rsid w:val="00344525"/>
    <w:pPr>
      <w:spacing w:before="100" w:beforeAutospacing="1" w:after="100" w:afterAutospacing="1" w:line="240" w:lineRule="auto"/>
    </w:pPr>
    <w:rPr>
      <w:rFonts w:ascii="Times New Roman" w:eastAsia="MS Mincho" w:hAnsi="Times New Roman"/>
      <w:sz w:val="24"/>
      <w:szCs w:val="24"/>
      <w:lang w:eastAsia="ja-JP"/>
    </w:rPr>
  </w:style>
  <w:style w:type="character" w:customStyle="1" w:styleId="datametai">
    <w:name w:val="datametai"/>
    <w:basedOn w:val="DefaultParagraphFont"/>
    <w:uiPriority w:val="99"/>
    <w:rsid w:val="00344525"/>
    <w:rPr>
      <w:rFonts w:cs="Times New Roman"/>
    </w:rPr>
  </w:style>
  <w:style w:type="character" w:customStyle="1" w:styleId="datamnuo">
    <w:name w:val="datamnuo"/>
    <w:basedOn w:val="DefaultParagraphFont"/>
    <w:uiPriority w:val="99"/>
    <w:rsid w:val="00344525"/>
    <w:rPr>
      <w:rFonts w:cs="Times New Roman"/>
    </w:rPr>
  </w:style>
  <w:style w:type="character" w:customStyle="1" w:styleId="datadiena">
    <w:name w:val="datadiena"/>
    <w:basedOn w:val="DefaultParagraphFont"/>
    <w:uiPriority w:val="99"/>
    <w:rsid w:val="00344525"/>
    <w:rPr>
      <w:rFonts w:cs="Times New Roman"/>
    </w:rPr>
  </w:style>
  <w:style w:type="character" w:customStyle="1" w:styleId="statymonr">
    <w:name w:val="statymonr"/>
    <w:basedOn w:val="DefaultParagraphFont"/>
    <w:uiPriority w:val="99"/>
    <w:rsid w:val="00344525"/>
    <w:rPr>
      <w:rFonts w:cs="Times New Roman"/>
    </w:rPr>
  </w:style>
  <w:style w:type="character" w:styleId="PageNumber">
    <w:name w:val="page number"/>
    <w:basedOn w:val="DefaultParagraphFont"/>
    <w:uiPriority w:val="99"/>
    <w:rsid w:val="003758BE"/>
    <w:rPr>
      <w:rFonts w:cs="Times New Roman"/>
    </w:rPr>
  </w:style>
  <w:style w:type="table" w:styleId="TableGrid">
    <w:name w:val="Table Grid"/>
    <w:basedOn w:val="TableNormal"/>
    <w:uiPriority w:val="99"/>
    <w:rsid w:val="003758BE"/>
    <w:pPr>
      <w:spacing w:after="200"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89076F"/>
    <w:rPr>
      <w:rFonts w:cs="Times New Roman"/>
      <w:color w:val="800080"/>
      <w:u w:val="single"/>
    </w:rPr>
  </w:style>
  <w:style w:type="paragraph" w:styleId="ListParagraph">
    <w:name w:val="List Paragraph"/>
    <w:basedOn w:val="Normal"/>
    <w:uiPriority w:val="99"/>
    <w:qFormat/>
    <w:rsid w:val="008925B6"/>
    <w:pPr>
      <w:ind w:left="720"/>
      <w:contextualSpacing/>
    </w:pPr>
  </w:style>
  <w:style w:type="paragraph" w:styleId="NormalWeb">
    <w:name w:val="Normal (Web)"/>
    <w:basedOn w:val="Normal"/>
    <w:uiPriority w:val="99"/>
    <w:rsid w:val="00013C80"/>
    <w:pPr>
      <w:spacing w:before="100" w:beforeAutospacing="1" w:after="100" w:afterAutospacing="1" w:line="240" w:lineRule="auto"/>
    </w:pPr>
    <w:rPr>
      <w:rFonts w:ascii="Times New Roman" w:hAnsi="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427262769">
      <w:marLeft w:val="0"/>
      <w:marRight w:val="0"/>
      <w:marTop w:val="0"/>
      <w:marBottom w:val="0"/>
      <w:divBdr>
        <w:top w:val="none" w:sz="0" w:space="0" w:color="auto"/>
        <w:left w:val="none" w:sz="0" w:space="0" w:color="auto"/>
        <w:bottom w:val="none" w:sz="0" w:space="0" w:color="auto"/>
        <w:right w:val="none" w:sz="0" w:space="0" w:color="auto"/>
      </w:divBdr>
    </w:div>
    <w:div w:id="1427262771">
      <w:marLeft w:val="0"/>
      <w:marRight w:val="0"/>
      <w:marTop w:val="0"/>
      <w:marBottom w:val="0"/>
      <w:divBdr>
        <w:top w:val="none" w:sz="0" w:space="0" w:color="auto"/>
        <w:left w:val="none" w:sz="0" w:space="0" w:color="auto"/>
        <w:bottom w:val="none" w:sz="0" w:space="0" w:color="auto"/>
        <w:right w:val="none" w:sz="0" w:space="0" w:color="auto"/>
      </w:divBdr>
    </w:div>
    <w:div w:id="1427262772">
      <w:marLeft w:val="188"/>
      <w:marRight w:val="188"/>
      <w:marTop w:val="0"/>
      <w:marBottom w:val="0"/>
      <w:divBdr>
        <w:top w:val="none" w:sz="0" w:space="0" w:color="auto"/>
        <w:left w:val="none" w:sz="0" w:space="0" w:color="auto"/>
        <w:bottom w:val="none" w:sz="0" w:space="0" w:color="auto"/>
        <w:right w:val="none" w:sz="0" w:space="0" w:color="auto"/>
      </w:divBdr>
      <w:divsChild>
        <w:div w:id="1427262773">
          <w:marLeft w:val="0"/>
          <w:marRight w:val="0"/>
          <w:marTop w:val="0"/>
          <w:marBottom w:val="0"/>
          <w:divBdr>
            <w:top w:val="none" w:sz="0" w:space="0" w:color="auto"/>
            <w:left w:val="none" w:sz="0" w:space="0" w:color="auto"/>
            <w:bottom w:val="none" w:sz="0" w:space="0" w:color="auto"/>
            <w:right w:val="none" w:sz="0" w:space="0" w:color="auto"/>
          </w:divBdr>
        </w:div>
      </w:divsChild>
    </w:div>
    <w:div w:id="1427262774">
      <w:marLeft w:val="225"/>
      <w:marRight w:val="225"/>
      <w:marTop w:val="0"/>
      <w:marBottom w:val="0"/>
      <w:divBdr>
        <w:top w:val="none" w:sz="0" w:space="0" w:color="auto"/>
        <w:left w:val="none" w:sz="0" w:space="0" w:color="auto"/>
        <w:bottom w:val="none" w:sz="0" w:space="0" w:color="auto"/>
        <w:right w:val="none" w:sz="0" w:space="0" w:color="auto"/>
      </w:divBdr>
      <w:divsChild>
        <w:div w:id="1427262770">
          <w:marLeft w:val="0"/>
          <w:marRight w:val="0"/>
          <w:marTop w:val="0"/>
          <w:marBottom w:val="0"/>
          <w:divBdr>
            <w:top w:val="none" w:sz="0" w:space="0" w:color="auto"/>
            <w:left w:val="none" w:sz="0" w:space="0" w:color="auto"/>
            <w:bottom w:val="none" w:sz="0" w:space="0" w:color="auto"/>
            <w:right w:val="none" w:sz="0" w:space="0" w:color="auto"/>
          </w:divBdr>
        </w:div>
      </w:divsChild>
    </w:div>
    <w:div w:id="14272627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5105" TargetMode="External"/><Relationship Id="rId13" Type="http://schemas.openxmlformats.org/officeDocument/2006/relationships/hyperlink" Target="http://www.smm.lt/strategija/docs/vss/Svietimo_strategija.pdf" TargetMode="External"/><Relationship Id="rId18" Type="http://schemas.openxmlformats.org/officeDocument/2006/relationships/hyperlink" Target="http://www3.lrs.lt/pls/inter/dokpaieska.showdoc_l?p_id=223790"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lrs.lt/pls/inter/dokpaieska.showdoc_l?p_id=323620" TargetMode="External"/><Relationship Id="rId7" Type="http://schemas.openxmlformats.org/officeDocument/2006/relationships/hyperlink" Target="http://www3.lrs.lt/pls/inter/dokpaieska.showdoc_l?p_id=1480" TargetMode="External"/><Relationship Id="rId12" Type="http://schemas.openxmlformats.org/officeDocument/2006/relationships/hyperlink" Target="http://www3.lrs.lt/pls/inter/dokpaieska.showdoc_l?p_id=168206" TargetMode="External"/><Relationship Id="rId17" Type="http://schemas.openxmlformats.org/officeDocument/2006/relationships/hyperlink" Target="http://www3.lrs.lt/pls/inter/dokpaieska.showdoc_l?p_id=295408"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pls/inter/dokpaieska.showdoc_l?p_id=45299" TargetMode="External"/><Relationship Id="rId20" Type="http://schemas.openxmlformats.org/officeDocument/2006/relationships/hyperlink" Target="http://www3.lrs.lt/pls/inter/dokpaieska.showdoc_l?p_id=22252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95105"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3.lrs.lt/pls/inter/dokpaieska.showdoc_l?p_id=343430" TargetMode="External"/><Relationship Id="rId23" Type="http://schemas.openxmlformats.org/officeDocument/2006/relationships/header" Target="header1.xml"/><Relationship Id="rId28" Type="http://schemas.openxmlformats.org/officeDocument/2006/relationships/header" Target="header4.xml"/><Relationship Id="rId10" Type="http://schemas.openxmlformats.org/officeDocument/2006/relationships/hyperlink" Target="http://www3.lrs.lt/pls/inter/dokpaieska.showdoc_l?p_id=1480" TargetMode="External"/><Relationship Id="rId19" Type="http://schemas.openxmlformats.org/officeDocument/2006/relationships/hyperlink" Target="http://www3.lrs.lt/pls/inter/dokpaieska.showdoc_l?p_id=267026" TargetMode="External"/><Relationship Id="rId4" Type="http://schemas.openxmlformats.org/officeDocument/2006/relationships/webSettings" Target="webSettings.xml"/><Relationship Id="rId9" Type="http://schemas.openxmlformats.org/officeDocument/2006/relationships/hyperlink" Target="http://www3.lrs.lt/pls/inter3/dokpaieska.showdoc_l?p_id=425517&amp;p_query=&amp;p_tr2=2" TargetMode="External"/><Relationship Id="rId14" Type="http://schemas.openxmlformats.org/officeDocument/2006/relationships/hyperlink" Target="http://www.smm.lt/strategija/docs/vssi/1562_Svietimo_strategija%202012.pdf" TargetMode="External"/><Relationship Id="rId22" Type="http://schemas.openxmlformats.org/officeDocument/2006/relationships/hyperlink" Target="http://www3.lrs.lt/pls/inter/dokpaieska.showdoc_l?p_id=373548"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11</Pages>
  <Words>25775</Words>
  <Characters>14692</Characters>
  <Application>Microsoft Office Outlook</Application>
  <DocSecurity>0</DocSecurity>
  <Lines>0</Lines>
  <Paragraphs>0</Paragraphs>
  <ScaleCrop>false</ScaleCrop>
  <Company>ŠMM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Rita Dukynaitė</dc:creator>
  <cp:keywords/>
  <dc:description/>
  <cp:lastModifiedBy>User</cp:lastModifiedBy>
  <cp:revision>3</cp:revision>
  <cp:lastPrinted>2012-11-26T06:24:00Z</cp:lastPrinted>
  <dcterms:created xsi:type="dcterms:W3CDTF">2012-12-06T14:36:00Z</dcterms:created>
  <dcterms:modified xsi:type="dcterms:W3CDTF">2013-09-26T14:57:00Z</dcterms:modified>
</cp:coreProperties>
</file>